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14.15 BinSchStrO 2012 — Meldepflicht</w:t>
      </w:r>
    </w:p>
    <w:p>
      <w:r>
        <w:rPr>
          <w:color w:val="555555"/>
          <w:sz w:val="18"/>
        </w:rPr>
        <w:t xml:space="preserve">Binnenschifffahrtsstraßen-Ordnung</w:t>
      </w:r>
    </w:p>
    <w:p>
      <w:r>
        <w:rPr>
          <w:color w:val="555555"/>
          <w:sz w:val="18"/>
        </w:rPr>
        <w:t xml:space="preserve">Stand: 21.10.2025 (konsolidierte Textfassung, kein amtliches Inkrafttretensdatum)</w:t>
      </w:r>
    </w:p>
    <w:p>
      <w:pPr>
        <w:ind w:left="420"/>
      </w:pPr>
      <w:r>
        <w:t xml:space="preserve">1. Der Schiffsführer eines Fahrzeugs oder Verbandes, das oder der dem ADN unterliegt, sowie der Schiffsführer eines Tankschiffs, eines Kabinenschiffs, eines Seeschiffs oder eines Sondertransportes nach § 1.21 müssen sich vor Einfahrt in den Schifffahrtsweg Rhein-Kleve auf dem im Handbuch Binnenschifffahrtsfunk (§ 1.10 Nummer 1 Buchstabe d Doppelbuchstabe ee) bekannt gegebenen Kanal des Verkehrskreises Nautische Information bei der Funkstelle „Duisburg Revierzentrale“ melden und folgende Angaben machen:</w:t>
      </w:r>
    </w:p>
    <w:p>
      <w:pPr>
        <w:ind w:left="780"/>
      </w:pPr>
      <w:r>
        <w:t xml:space="preserve">a) Schiffsgattung;</w:t>
      </w:r>
    </w:p>
    <w:p>
      <w:pPr>
        <w:ind w:left="780"/>
      </w:pPr>
      <w:r>
        <w:t xml:space="preserve">b) Schiffsname;</w:t>
      </w:r>
    </w:p>
    <w:p>
      <w:pPr>
        <w:ind w:left="780"/>
      </w:pPr>
      <w:r>
        <w:t xml:space="preserve">c) Standort, Fahrtrichtung;</w:t>
      </w:r>
    </w:p>
    <w:p>
      <w:pPr>
        <w:ind w:left="780"/>
      </w:pPr>
      <w:r>
        <w:t xml:space="preserve">d) Einheitliche europäische Schiffsnummer (ENI), bei Seeschiffen IMO-Schiffsidentifikationsnummer und Unterscheidungssignal;</w:t>
      </w:r>
    </w:p>
    <w:p>
      <w:pPr>
        <w:ind w:left="780"/>
      </w:pPr>
      <w:r>
        <w:t xml:space="preserve">e) Tragfähigkeit;</w:t>
      </w:r>
    </w:p>
    <w:p>
      <w:pPr>
        <w:ind w:left="780"/>
      </w:pPr>
      <w:r>
        <w:t xml:space="preserve">f) Länge und Breite des Fahrzeugs;</w:t>
      </w:r>
    </w:p>
    <w:p>
      <w:pPr>
        <w:ind w:left="780"/>
      </w:pPr>
      <w:r>
        <w:t xml:space="preserve">g) Art, Länge und Breite des Verbandes;</w:t>
      </w:r>
    </w:p>
    <w:p>
      <w:pPr>
        <w:ind w:left="780"/>
      </w:pPr>
      <w:r>
        <w:t xml:space="preserve">h) Fahrtroute;</w:t>
      </w:r>
    </w:p>
    <w:p>
      <w:pPr>
        <w:ind w:left="780"/>
      </w:pPr>
      <w:r>
        <w:t xml:space="preserve">i) Beladehafen</w:t>
      </w:r>
    </w:p>
    <w:p>
      <w:pPr>
        <w:ind w:left="780"/>
      </w:pPr>
      <w:r>
        <w:t xml:space="preserve">j) Entladehafen;</w:t>
      </w:r>
    </w:p>
    <w:p>
      <w:pPr>
        <w:ind w:left="780"/>
      </w:pPr>
      <w:r>
        <w:t xml:space="preserve">k) bei gefährlichen Gütern nach ADN:</w:t>
      </w:r>
    </w:p>
    <w:p>
      <w:pPr>
        <w:ind w:left="1140"/>
      </w:pPr>
      <w:r>
        <w:t xml:space="preserve">aa) die UN-Nummer oder Stoffnummer,</w:t>
      </w:r>
    </w:p>
    <w:p>
      <w:pPr>
        <w:ind w:left="1140"/>
      </w:pPr>
      <w:r>
        <w:t xml:space="preserve">bb) die offizielle Benennung für die Beförderung, sofern zutreffend ergänzt durch die technische Bezeichnung,</w:t>
      </w:r>
    </w:p>
    <w:p>
      <w:pPr>
        <w:ind w:left="1140"/>
      </w:pPr>
      <w:r>
        <w:t xml:space="preserve">cc) die Klasse, den Klassifizierungscode und gegebenenfalls die Verpackungsgruppe,</w:t>
      </w:r>
    </w:p>
    <w:p>
      <w:pPr>
        <w:ind w:left="1140"/>
      </w:pPr>
      <w:r>
        <w:t xml:space="preserve">dd) die Gesamtmenge der gefährlichen Güter, für die diese Angaben gelten;</w:t>
      </w:r>
    </w:p>
    <w:p>
      <w:pPr>
        <w:ind w:left="780"/>
      </w:pPr>
      <w:r>
        <w:t xml:space="preserve">k1) bei anderen Gütern als Gefahrgütern: die Art der Ladung (Stoffname, Stoffmenge);</w:t>
      </w:r>
    </w:p>
    <w:p>
      <w:pPr>
        <w:ind w:left="780"/>
      </w:pPr>
      <w:r>
        <w:t xml:space="preserve">l) Anzahl der geführten blauen Lichter/blauen Kegel;</w:t>
      </w:r>
    </w:p>
    <w:p>
      <w:pPr>
        <w:ind w:left="780"/>
      </w:pPr>
      <w:r>
        <w:t xml:space="preserve">m) Anzahl der an Bord befindlichen Personen.</w:t>
      </w:r>
    </w:p>
    <w:p>
      <w:pPr>
        <w:ind w:left="420"/>
      </w:pPr>
      <w:r>
        <w:t xml:space="preserve">Auf besondere Anforderung der Funkstelle „Duisburg Revierzentrale“ hat der Schiffsführer Angaben zum Tiefgang des von ihm geführten Fahrzeugs, Verbandes oder Sondertransportes nach § 1.21 zu machen. Die Begrenzung der meldepflichtigen Strecke wird durch die Tafelzeichen B.11 (Anlage 7) mit einem Zusatzschild „Meldepflicht“ kenntlich gemacht.</w:t>
      </w:r>
    </w:p>
    <w:p>
      <w:pPr>
        <w:ind w:left="420"/>
      </w:pPr>
      <w:r>
        <w:t xml:space="preserve">2. Die unter Nummer 1 Satz 1, ausgenommen Buchstabe c und m, genannten Angaben können auch von einer anderen Stelle oder Person rechtzeitig vor der Einfahrt des Fahrzeugs, Verbandes oder Sondertransportes nach § 1.21 in die meldepflichtige Strecke schriftlich, telefonisch oder auf elektronischem Wege der Funkstelle „Duisburg Revierzentrale“ mitgeteilt werden. Für einen Transport mit einer Ladung von mehr als zwei Gefahrgütern muss die Meldung schriftlich oder elektronisch abgegeben werden. In jedem Fall muss der Schiffsführer der Funkstelle „Duisburg Revierzentrale“ melden, wenn er mit dem von ihm geführten Fahrzeug, Verband oder Sondertransport nach § 1.21 in die meldepflichtige Strecke einfährt und diese wieder verlässt. Sofern sich der Schiffsführer oder eine andere Stelle oder Person auf elektronischem Wege meldet, muss die Meldung gemäß den Bestimmungen der Durchführungsverordnung (EU) 2019/1744 erfolgen.</w:t>
      </w:r>
    </w:p>
    <w:p>
      <w:pPr>
        <w:ind w:left="420"/>
      </w:pPr>
      <w:r>
        <w:t xml:space="preserve">3. Unterbricht ein Fahrzeug, Verband oder Sondertransport nach § 1.21 die Fahrt innerhalb der meldepflichtigen Strecke für mehr als zwei Stunden, muss der Schiffsführer Beginn und Ende der Unterbrechung der Funkstelle „Duisburg Revierzentrale“ melden.</w:t>
      </w:r>
    </w:p>
    <w:p>
      <w:pPr>
        <w:ind w:left="420"/>
      </w:pPr>
      <w:r>
        <w:t xml:space="preserve">4. Ändern sich die Angaben nach Nummer 1 während der Fahrt in der meldepflichtigen Strecke, muss der Schiffsführer dies der Funkstelle „Duisburg Revierzentrale“ unverzüglich mitteilen.</w:t>
      </w:r>
    </w:p>
    <w:p>
      <w:pPr>
        <w:ind w:left="420"/>
      </w:pPr>
      <w:r>
        <w:t xml:space="preserve">5. Ein Fahrzeug, ein Verband oder ein Sondertransport nach § 1.21, das oder der auf dem Rhein bereits eine Meldung nach § 12.01 Nummer 1 Rheinschifffahrtspolizeiverordnung abgegeben hat und in die meldepflichtige Strecke einfährt, muss der Funkstelle „Duisburg Revierzentrale“ beim Vorbeifahren an den mit den Tafelzeichen B.11 (Anlage 7) gekennzeichneten Meldepunkten nur noch die unter Nummer 1 Satz 1 Buchstabe a bis d genannten Angaben mitteilen.</w:t>
      </w:r>
    </w:p>
    <w:p>
      <w:r>
        <w:rPr>
          <w:color w:val="555555"/>
          <w:sz w:val="17"/>
        </w:rPr>
        <w:t xml:space="preserve">Zitiervorschlag: § 14.15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14.15 BinSchStrO 2012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