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14.02 BinSchStrO 2012 — Abmessungen der Fahrzeuge und Verbände, Fahrrinnentiefe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Fahrzeug oder ein Schubverband darf jeweils eine Länge von 67,00 m und eine Breite von 8,20 m nicht überschreiten.</w:t>
      </w:r>
    </w:p>
    <w:p>
      <w:pPr>
        <w:ind w:left="420"/>
      </w:pPr>
      <w:r>
        <w:t xml:space="preserve">2. Die Fahrrinnentiefe</w:t>
      </w:r>
    </w:p>
    <w:p>
      <w:pPr>
        <w:ind w:left="780"/>
      </w:pPr>
      <w:r>
        <w:t xml:space="preserve">a) entspricht auf dem Griethauser Altrhein bis zum Unterwasser der Schleuse Brienen dem jeweiligen Wasserstand des Rheins am Pegel Emmerich zuzüglich 0,30 m,</w:t>
      </w:r>
    </w:p>
    <w:p>
      <w:pPr>
        <w:ind w:left="780"/>
      </w:pPr>
      <w:r>
        <w:t xml:space="preserve">b) b) beträgt auf dem Spoykanal 2,50 m.</w:t>
      </w:r>
    </w:p>
    <w:p>
      <w:r>
        <w:rPr>
          <w:color w:val="555555"/>
          <w:sz w:val="17"/>
        </w:rPr>
        <w:t xml:space="preserve">Zitiervorschlag: § 14.02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https://recht.nulegal.eu/gesetze/BinSchStrO%202012/14.02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