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Kapitels gelten auf dem Schifffahrtsweg Rhein-Kleve (SRK), bestehend aus</w:t>
      </w:r>
    </w:p>
    <w:p>
      <w:pPr>
        <w:ind w:left="420"/>
      </w:pPr>
      <w:r>
        <w:t xml:space="preserve">1. dem Griethauser Altrhein (GAR) von Griethausen (GAR-km 0,00) bis zur Einmündung in den Rhein (GAR-km 10,24/Rh-km 863,93) und</w:t>
      </w:r>
    </w:p>
    <w:p>
      <w:pPr>
        <w:ind w:left="420"/>
      </w:pPr>
      <w:r>
        <w:t xml:space="preserve">2. dem Spoykanal (SyK) vom Unterwasser der Schleuse Brienen (SyK-km 4,57) bis zum Hafen Kleve (SRK-km 1,78).</w:t>
      </w:r>
    </w:p>
    <w:p>
      <w:r>
        <w:rPr>
          <w:color w:val="555555"/>
          <w:sz w:val="17"/>
        </w:rPr>
        <w:t xml:space="preserve">Zitiervorschlag: § 14.01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