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13.24 BinSchStrO 2012 — Sonderbestimmungen für Kleinfahrzeuge</w:t>
      </w:r>
    </w:p>
    <w:p>
      <w:r>
        <w:rPr>
          <w:color w:val="555555"/>
          <w:sz w:val="18"/>
        </w:rPr>
        <w:t xml:space="preserve">Binnenschifffahrtsstraßen-Ordnung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(keine besonderen Vorschriften)</w:t>
      </w:r>
    </w:p>
    <w:p>
      <w:r>
        <w:rPr>
          <w:color w:val="555555"/>
          <w:sz w:val="17"/>
        </w:rPr>
        <w:t xml:space="preserve">Zitiervorschlag: § 13.24 BinSchStrO 2012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https://recht.nulegal.eu/gesetze/BinSchStrO%202012/13.24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