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13.13 BinSchStrO 2012 — Nachtschifffahrt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Bei Nacht darf nur ein solches Fahrzeug fahren, das das Fahrwasser und die Ufer durch Scheinwerfer ausreichend beleuchten kann.</w:t>
      </w:r>
    </w:p>
    <w:p>
      <w:pPr>
        <w:ind w:left="420"/>
      </w:pPr>
      <w:r>
        <w:t xml:space="preserve">2. Die Benutzung einer Schleuse bei Nacht ist verboten.</w:t>
      </w:r>
    </w:p>
    <w:p>
      <w:pPr>
        <w:ind w:left="420"/>
      </w:pPr>
      <w:r>
        <w:t xml:space="preserve">3. Die zuständige Behörde kann abweichend von Nummer 2 Ausnahmen zulassen.</w:t>
      </w:r>
    </w:p>
    <w:p>
      <w:r>
        <w:rPr>
          <w:color w:val="555555"/>
          <w:sz w:val="17"/>
        </w:rPr>
        <w:t xml:space="preserve">Zitiervorschlag: § 13.13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https://recht.nulegal.eu/gesetze/BinSchStrO%202012/13.13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