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In einen Schleppverband darf nur ein Anhang eingestellt werden. Satz 1 gilt nicht für das Schleppen von Kleinfahrzeugen.</w:t>
      </w:r>
    </w:p>
    <w:p>
      <w:pPr>
        <w:ind w:left="420"/>
      </w:pPr>
      <w:r>
        <w:t xml:space="preserve">2. Die zuständige Behörde kann abweichend von Nummer 1 Satz 1 Ausnahmen zulassen.</w:t>
      </w:r>
    </w:p>
    <w:p>
      <w:r>
        <w:rPr>
          <w:color w:val="555555"/>
          <w:sz w:val="17"/>
        </w:rPr>
        <w:t xml:space="preserve">Zitiervorschlag: § 13.03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