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 die zugelassene Höchstgeschwindigkeit nach § 12.04 Nummer 1, auch in Verbindung mit Nummer 2, nicht überschreitet,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Verhalten beim Begegnen nach § 12.06 Nummer 1 Satz 1 und Nummer 2, jeweils auch in Verbindung mit Nummer 3,</w:t>
      </w:r>
    </w:p>
    <w:p>
      <w:pPr>
        <w:ind w:left="1140"/>
      </w:pPr>
      <w:r>
        <w:t xml:space="preserve">bb) das Verbot zu überholen nach § 12.07 Satz 1,</w:t>
      </w:r>
    </w:p>
    <w:p>
      <w:pPr>
        <w:ind w:left="1140"/>
      </w:pPr>
      <w:r>
        <w:t xml:space="preserve">cc) das Wenden nach § 12.08,</w:t>
      </w:r>
    </w:p>
    <w:p>
      <w:pPr>
        <w:ind w:left="1140"/>
      </w:pPr>
      <w:r>
        <w:t xml:space="preserve">dd) die Schifffahrt bei Hochwasser nach § 12.11 Nummer 1, 2 und 4 und</w:t>
      </w:r>
    </w:p>
    <w:p>
      <w:pPr>
        <w:ind w:left="1140"/>
      </w:pPr>
      <w:r>
        <w:t xml:space="preserve">ee) die Benutzung der Schleusen und Bootsumsetzanlagen nach § 12.19 Nummer 1 Satz 2, Nummer 2, 3 Satz 1 und 2 und Nummer 4</w:t>
      </w:r>
    </w:p>
    <w:p>
      <w:pPr>
        <w:ind w:left="780"/>
      </w:pPr>
      <w:r>
        <w:t xml:space="preserve">einzuhalten oder sicherzustellen, dass diese eingehalten werden, und</w:t>
      </w:r>
    </w:p>
    <w:p>
      <w:pPr>
        <w:ind w:left="780"/>
      </w:pPr>
      <w:r>
        <w:t xml:space="preserve">c) eine nach § 12.12 erteilte Weisung, rechtzeitig einen Schutzhafen oder eine geeignete Liegestelle aufzusuchen, einzuhalten oder sicherzustellen, dass diese eingehalten wird.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 die zugelassenen Höchstabmessungen nach § 12.02 Nummer 1 Satz 1 und 2, Satz 2 auch in Verbindung mit Satz 3 und 4, und die zulässige Abladetiefe nach § 12.02 Nummer 3 nicht überschreitet,</w:t>
      </w:r>
    </w:p>
    <w:p>
      <w:pPr>
        <w:ind w:left="1140"/>
      </w:pPr>
      <w:r>
        <w:t xml:space="preserve">bb) auf dem von ihm geführten Fahrzeug oder Verband in den Fällen des § 12.02 Nummer 1 Satz 2 bis 4 die dort jeweils angegebene Ausrüstung vorhanden ist und,</w:t>
      </w:r>
    </w:p>
    <w:p>
      <w:pPr>
        <w:ind w:left="1140"/>
      </w:pPr>
      <w:r>
        <w:t xml:space="preserve">cc) der Bug eines von ihm geführten einzeln fahrenden Fahrzeugs mit Pontonform der Form nach § 12.26 Satz 1 entspricht,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12.03 Nummer 1 Satz 1 und Nummer 2,</w:t>
      </w:r>
    </w:p>
    <w:p>
      <w:pPr>
        <w:ind w:left="1140"/>
      </w:pPr>
      <w:r>
        <w:t xml:space="preserve">bb) das Ankern nach § 12.09 Nummer 1,</w:t>
      </w:r>
    </w:p>
    <w:p>
      <w:pPr>
        <w:ind w:left="1140"/>
      </w:pPr>
      <w:r>
        <w:t xml:space="preserve">cc) das Stillliegen nach § 12.10 Nummer 1,</w:t>
      </w:r>
    </w:p>
    <w:p>
      <w:pPr>
        <w:ind w:left="1140"/>
      </w:pPr>
      <w:r>
        <w:t xml:space="preserve">dd) das Verhalten bei der Benutzung der Schleusen nach § 12.19 Nummer 5 und</w:t>
      </w:r>
    </w:p>
    <w:p>
      <w:pPr>
        <w:ind w:left="1140"/>
      </w:pPr>
      <w:r>
        <w:t xml:space="preserve">ee) das Führen eines Schubleichters nach § 12.26 Satz 1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die Regelung über den Verkehr nach § 12.22 zu beachten oder sicherzustellen, dass diese beachtet werden,</w:t>
      </w:r>
    </w:p>
    <w:p>
      <w:pPr>
        <w:ind w:left="780"/>
      </w:pPr>
      <w:r>
        <w:t xml:space="preserve">d) das in § 12.20 Satz 1 vorgesehene Verbot zu segeln, zu beachten oder sicherzustellen, dass dieses beachtet wird, und</w:t>
      </w:r>
    </w:p>
    <w:p>
      <w:pPr>
        <w:ind w:left="780"/>
      </w:pPr>
      <w:r>
        <w:t xml:space="preserve">e) das in § 12.25 Nummer 1, 2 Satz 1 und Nummer 3 Satz 1 jeweils vorgesehene Verbot, die dort jeweils angegebene Binnenschifffahrtsstraße zu befahren, zu beachten oder sicherzustellen, dass dieses jeweils beachtet wird.</w:t>
      </w:r>
    </w:p>
    <w:p>
      <w:pPr>
        <w:ind w:left="420"/>
      </w:pPr>
      <w:r>
        <w:t xml:space="preserve">3. Der Eigentümer und der Ausrüster dürfen jeweils die Inbetriebnahme eines Fahrzeugs oder Verbandes nur anordnen oder zulassen, wenn</w:t>
      </w:r>
    </w:p>
    <w:p>
      <w:pPr>
        <w:ind w:left="780"/>
      </w:pPr>
      <w:r>
        <w:t xml:space="preserve">a) das Fahrzeug oder der Verband die zugelassenen Höchstabmessungen nach § 12.02 Nummer 1 Satz 1 und 2, Satz 2 auch in Verbindung mit Satz 3 und 4, und die zugelassene Abladetiefe nach § 12.02 Nummer 3 nicht überschreitet und</w:t>
      </w:r>
    </w:p>
    <w:p>
      <w:pPr>
        <w:ind w:left="780"/>
      </w:pPr>
      <w:r>
        <w:t xml:space="preserve">b) auf dem Fahrzeug oder Verband in den Fällen des § 12.02 Nummer 1 Satz 2 bis 4 die dort jeweils angegebene Ausrüstung vorhanden ist.</w:t>
      </w:r>
    </w:p>
    <w:p>
      <w:r>
        <w:rPr>
          <w:color w:val="555555"/>
          <w:sz w:val="17"/>
        </w:rPr>
        <w:t xml:space="preserve">Zitiervorschlag: § 12.29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