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12.15 BinSchStrO 2012 — Meldepflicht</w:t>
      </w:r>
    </w:p>
    <w:p>
      <w:r>
        <w:rPr>
          <w:color w:val="555555"/>
          <w:sz w:val="18"/>
        </w:rPr>
        <w:t xml:space="preserve">Binnenschifffahrtsstraßen-Ordnung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(keine besonderen Vorschriften)</w:t>
      </w:r>
    </w:p>
    <w:p>
      <w:r>
        <w:rPr>
          <w:color w:val="555555"/>
          <w:sz w:val="17"/>
        </w:rPr>
        <w:t xml:space="preserve">Zitiervorschlag: § 12.15 BinSchStrO 2012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https://recht.nulegal.eu/gesetze/BinSchStrO%202012/12.15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