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12.12 BinSchStrO 2012 — Schifffahrt bei Eis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Droht infolge zunehmender Eisbildung die Einstellung der Schifffahrt, muss ein Fahrzeug oder ein Verband nach Weisung der zuständigen Behörde rechtzeitig einen Schutzhafen oder eine geeignete Liegestelle aufsuchen.</w:t>
      </w:r>
    </w:p>
    <w:p>
      <w:r>
        <w:rPr>
          <w:color w:val="555555"/>
          <w:sz w:val="17"/>
        </w:rPr>
        <w:t xml:space="preserve">Zitiervorschlag: § 12.12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