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12.11 BinSchStrO 2012 — Schifffahrt bei Hochwasser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Erreicht oder überschreitet der Wasserstand die Hochwassermarke I an dem Richtpegel für den unter Nummer 5 jeweils aufgeführten Streckenabschnitt,</w:t>
      </w:r>
    </w:p>
    <w:p>
      <w:pPr>
        <w:ind w:left="780"/>
      </w:pPr>
      <w:r>
        <w:t xml:space="preserve">a) muss ein Fahrzeug oder ein Verband bei der Fahrt möglichst weit vom Ufer entfernt bleiben,</w:t>
      </w:r>
    </w:p>
    <w:p>
      <w:pPr>
        <w:ind w:left="780"/>
      </w:pPr>
      <w:r>
        <w:t xml:space="preserve">b) darf ein Transport einer schwimmenden Anlage oder eines Schwimmkörpers nicht ausgeführt werden,</w:t>
      </w:r>
    </w:p>
    <w:p>
      <w:pPr>
        <w:ind w:left="780"/>
      </w:pPr>
      <w:r>
        <w:t xml:space="preserve">c) darf die Geschwindigkeit eines Talfahrers nicht größer sein, als zur sicheren Steuerung notwendig ist.</w:t>
      </w:r>
    </w:p>
    <w:p>
      <w:pPr>
        <w:ind w:left="420"/>
      </w:pPr>
      <w:r>
        <w:t xml:space="preserve">2. Erreicht oder überschreitet der Wasserstand den Höchsten Schifffahrtswasserstand (HSW) – Hochwassermarke II – an dem Richtpegel für den unter Nummer 5 jeweils aufgeführten Streckenabschnitt, ist die Schifffahrt mit Ausnahme des Übersetzverkehrs innerhalb des jeweiligen Streckenabschnitts verboten.</w:t>
      </w:r>
    </w:p>
    <w:p>
      <w:pPr>
        <w:ind w:left="420"/>
      </w:pPr>
      <w:r>
        <w:t xml:space="preserve">3. Die zuständige Behörde kann abweichend von den Nummern 1 und 2 Ausnahmen zulassen.</w:t>
      </w:r>
    </w:p>
    <w:p>
      <w:pPr>
        <w:ind w:left="420"/>
      </w:pPr>
      <w:r>
        <w:t xml:space="preserve">4. Hat der Wasserstand die Hochwassermarke II am Richtpegel Bamberg erreicht, so ist das Stillliegen zwischen dem Hafen Bamberg (km 2,80) und der Wendestelle Hausen (km 31,95) nur</w:t>
      </w:r>
    </w:p>
    <w:p>
      <w:pPr>
        <w:ind w:left="780"/>
      </w:pPr>
      <w:r>
        <w:t xml:space="preserve">a) im oberen Schleusenvorhafen Bamberg und</w:t>
      </w:r>
    </w:p>
    <w:p>
      <w:pPr>
        <w:ind w:left="780"/>
      </w:pPr>
      <w:r>
        <w:t xml:space="preserve">b) im unteren und oberen Schleusenvorhafen Strullendorf gestattet.</w:t>
      </w:r>
    </w:p>
    <w:p>
      <w:pPr>
        <w:ind w:left="420"/>
      </w:pPr>
      <w:r>
        <w:t xml:space="preserve">5. Die in den Nummern 1, 2 und 4 genannten Hochwassermarken werden durch folgende Wasserstände bestimmt, und die Richtpegel gelten für den nachstehend aufgeführten Streckenabschnitt:</w:t>
      </w:r>
    </w:p>
    <w:p>
      <w:r>
        <w:rPr>
          <w:rFonts w:ascii="Courier New" w:hAnsi="Courier New"/>
          <w:sz w:val="17"/>
        </w:rPr>
        <w:t xml:space="preserve">Strecke    Richtpegel    Hochwassermarke</w:t>
      </w:r>
    </w:p>
    <w:p>
      <w:r>
        <w:rPr>
          <w:rFonts w:ascii="Courier New" w:hAnsi="Courier New"/>
          <w:sz w:val="17"/>
        </w:rPr>
        <w:t xml:space="preserve">    I    II</w:t>
      </w:r>
    </w:p>
    <w:p>
      <w:r>
        <w:rPr>
          <w:rFonts w:ascii="Courier New" w:hAnsi="Courier New"/>
          <w:sz w:val="17"/>
        </w:rPr>
        <w:t xml:space="preserve">Main-Hafen Bamberg    Trunstadt    280 cm    340 cm</w:t>
      </w:r>
    </w:p>
    <w:p>
      <w:r>
        <w:rPr>
          <w:rFonts w:ascii="Courier New" w:hAnsi="Courier New"/>
          <w:sz w:val="17"/>
        </w:rPr>
        <w:t xml:space="preserve">Hafen Bamberg – Schleuse Bamberg,Schleuse Strullendorf – Schleuse Hausen    Bamberg    330 cm    370 cm</w:t>
      </w:r>
    </w:p>
    <w:p>
      <w:r>
        <w:rPr>
          <w:rFonts w:ascii="Courier New" w:hAnsi="Courier New"/>
          <w:sz w:val="17"/>
        </w:rPr>
        <w:t xml:space="preserve">Schleuse Dietfurt – Schleuse Kelheim    Riedenburg    —    520 cm</w:t>
      </w:r>
    </w:p>
    <w:p>
      <w:r>
        <w:rPr>
          <w:rFonts w:ascii="Courier New" w:hAnsi="Courier New"/>
          <w:sz w:val="17"/>
        </w:rPr>
        <w:t xml:space="preserve">Schleuse Kelheim – Donau    Oberndorf/Donau    —    480 cm</w:t>
      </w:r>
    </w:p>
    <w:p>
      <w:r>
        <w:rPr>
          <w:color w:val="555555"/>
          <w:sz w:val="17"/>
        </w:rPr>
        <w:t xml:space="preserve">Zitiervorschlag: § 12.11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https://recht.nulegal.eu/gesetze/BinSchStrO%202012/12.11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