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12.09 BinSchStrO 2012 — Ankern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pPr>
        <w:ind w:left="420"/>
      </w:pPr>
      <w:r>
        <w:t xml:space="preserve">1. Das Ankern ist verboten.</w:t>
      </w:r>
    </w:p>
    <w:p>
      <w:pPr>
        <w:ind w:left="420"/>
      </w:pPr>
      <w:r>
        <w:t xml:space="preserve">2. Abweichend von Nummer 1 darf auf folgenden Strecken geankert werden:</w:t>
      </w:r>
    </w:p>
    <w:p>
      <w:pPr>
        <w:ind w:left="780"/>
      </w:pPr>
      <w:r>
        <w:t xml:space="preserve">a) von der Abzweigung aus dem Main (Ma-km 384,07) bis zum Trenndamm des Schleusenbereichs Bamberg (MDK-km 6,45);</w:t>
      </w:r>
    </w:p>
    <w:p>
      <w:pPr>
        <w:ind w:left="780"/>
      </w:pPr>
      <w:r>
        <w:t xml:space="preserve">b) vom Hochwassersperrtor Neuses (MDK-km 21,81) bis zur Einmündung der Regnitz unterhalb der Schleuse Hausen (Re-km 31,99/MDK-km 31,99);</w:t>
      </w:r>
    </w:p>
    <w:p>
      <w:pPr>
        <w:ind w:left="780"/>
      </w:pPr>
      <w:r>
        <w:t xml:space="preserve">c) von der Einmündung der Altmühl (MDK-km 136,67) bis zur Umschlagstelle Riedenburg (MDK-km 149,80);</w:t>
      </w:r>
    </w:p>
    <w:p>
      <w:pPr>
        <w:ind w:left="780"/>
      </w:pPr>
      <w:r>
        <w:t xml:space="preserve">d) vom Unterwasser der Schleuse Riedenburg (MDK-km 151,30) bis Essing (MDK-km 161,50);</w:t>
      </w:r>
    </w:p>
    <w:p>
      <w:pPr>
        <w:ind w:left="780"/>
      </w:pPr>
      <w:r>
        <w:t xml:space="preserve">e) vom Unterwasser der Schleuse Kelheim (MDK-km 166,50) bis zur Einmündung in die Donau (MDK-km 170,78).</w:t>
      </w:r>
    </w:p>
    <w:p>
      <w:r>
        <w:rPr>
          <w:color w:val="555555"/>
          <w:sz w:val="17"/>
        </w:rPr>
        <w:t xml:space="preserve">Zitiervorschlag: § 12.09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https://recht.nulegal.eu/gesetze/BinSchStrO%202012/12.09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