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12.07 BinSchStrO 2012 — Überholen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Überholen eines Fahrzeugs oder Verbandes ist verboten</w:t>
      </w:r>
    </w:p>
    <w:p>
      <w:pPr>
        <w:ind w:left="420"/>
      </w:pPr>
      <w:r>
        <w:t xml:space="preserve">1. auf den von der zuständigen Behörde in den Amtlichen Schifffahrtsnachrichten für das Rheinstromgebiet bekannt gegebenen Strecken oder Stellen,</w:t>
      </w:r>
    </w:p>
    <w:p>
      <w:pPr>
        <w:ind w:left="420"/>
      </w:pPr>
      <w:r>
        <w:t xml:space="preserve">2. auf den in § 12.04 Nummer 1 Buchstabe b genannten Kanalbrücken.</w:t>
      </w:r>
    </w:p>
    <w:p>
      <w:r>
        <w:t xml:space="preserve">Ein Kleinfahrzeug darf abweichend von Satz 1 überholen und überholt werden.</w:t>
      </w:r>
    </w:p>
    <w:p>
      <w:r>
        <w:rPr>
          <w:color w:val="555555"/>
          <w:sz w:val="17"/>
        </w:rPr>
        <w:t xml:space="preserve">Zitiervorschlag: § 12.07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