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12.06 BinSchStrO 2012 —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pPr>
        <w:ind w:left="420"/>
      </w:pPr>
      <w:r>
        <w:t xml:space="preserve">1. Beim Begegnen müssen Fahrzeuge und Verbände abweichend von den §§ 6.04 und 6.05 Backbord an Backbord vorbeifahren. Die Vorschriften des § 6.07 über das Begegnen im engen Fahrwasser bleiben unberührt.</w:t>
      </w:r>
    </w:p>
    <w:p>
      <w:pPr>
        <w:ind w:left="420"/>
      </w:pPr>
      <w:r>
        <w:t xml:space="preserve">2. Abweichend von Nummer 1 kann aus wichtigem Grund die Vorbeifahrt Steuerbord an Steuerbord verlangt werden, wenn dies ohne Gefahr möglich ist. In diesem Falle hat, unbeschadet des § 6.04 Nummer 3, die vorherige gegenseitige Verständigung mittels Sprechfunk zu erfolgen.</w:t>
      </w:r>
    </w:p>
    <w:p>
      <w:pPr>
        <w:ind w:left="420"/>
      </w:pPr>
      <w:r>
        <w:t xml:space="preserve">3. Der Schiffsführer hat die von der nach § 2 Absatz 1 der Verordnung zur Einführung der Binnenschifffahrtsstraßen-Ordnung zuständigen Behörde durch öffentlich bekanntgemachte Anordnungen veröffentlichten Strecken oder Stellen, die in Abhängigkeit von Schiffslänge, Tiefgang und Wasserstand Fahrwasserengen im Sinne des § 6.07 darstellen können, zu berücksichtigen.</w:t>
      </w:r>
    </w:p>
    <w:p>
      <w:r>
        <w:rPr>
          <w:color w:val="555555"/>
          <w:sz w:val="17"/>
        </w:rPr>
        <w:t xml:space="preserve">Zitiervorschlag: § 12.06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https://recht.nulegal.eu/gesetze/BinSchStrO%202012/12.06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