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Das Fahren mit einem Schleppverband ist verboten. Satz 1 gilt nicht für das Schleppen von Kleinfahrzeugen.</w:t>
      </w:r>
    </w:p>
    <w:p>
      <w:pPr>
        <w:ind w:left="420"/>
      </w:pPr>
      <w:r>
        <w:t xml:space="preserve">2. Der Tiefgang eines schiebenden Tankmotorschiffes im Sinne des Artikels 1.01 Nummer 1.6 ES-TRIN oder eines schiebenden Gütermotorschiffes im Sinne des Artikels 1.01 Nummer 1.7 ES-TRIN darf nicht geringer sein als der Tiefgang des geschobenen Fahrzeugs.</w:t>
      </w:r>
    </w:p>
    <w:p>
      <w:pPr>
        <w:ind w:left="420"/>
      </w:pPr>
      <w:r>
        <w:t xml:space="preserve">3. Die zuständige Behörde kann Ausnahmen von Nummer 1 Satz 1 zulassen.</w:t>
      </w:r>
    </w:p>
    <w:p>
      <w:r>
        <w:rPr>
          <w:color w:val="555555"/>
          <w:sz w:val="17"/>
        </w:rPr>
        <w:t xml:space="preserve">Zitiervorschlag: § 12.03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