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12.02 BinSchStrO 2012 — Abmessungen der Fahrzeuge und Verbände, Fahrrinnentiefe und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Ein Fahrzeug oder ein Verband darf auf dem Main-Donau-Kanal eine Länge von 90,00 m und eine Breite von 11,45 m nicht überschreiten. Die zulässige Länge darf bei einem Fahrzeug auf bis zu 135,00 m und bei einem Verband auf bis zu 190,00 m erhöht werden, wenn das Fahrzeug oder der Verband mit einer aktiven Bugsteuereinrichtung – bei einem Verband an der Spitze des Verbandes – und einer Sprechverbindung zwischen Steuerstand und Spitze des Fahrzeugs oder Verbandes ausgerüstet ist. Die Ausrüstung nach Satz 2 ist nicht erforderlich, sofern ein Fahrzeug oder ein Schubverband mit einer Länge von bis zu 110,00 m mit zwei Hauptantriebsmotoren mit jeweils 350 kW Antriebsleistung und zwei Hauptpropellern ausgerüstet ist. Die Ausrüstung nach Satz 2 ist ferner nicht erforderlich, sofern ein Fahrzeug oder ein Schubverband mit einer Länge von mehr als 110,00 m bis zu einer Länge von 120,00 m mit zwei Hauptantriebsmotoren mit jeweils 400 kW Antriebsleistung und zwei Hauptpropellern ausgerüstet ist.</w:t>
      </w:r>
    </w:p>
    <w:p>
      <w:pPr>
        <w:ind w:left="420"/>
      </w:pPr>
      <w:r>
        <w:t xml:space="preserve">2. Die Fahrrinnentiefe beträgt von der Abzweigung aus dem Main (km 0,07) bis zur Schleuse Bamberg 2,90 m.</w:t>
      </w:r>
    </w:p>
    <w:p>
      <w:pPr>
        <w:ind w:left="420"/>
      </w:pPr>
      <w:r>
        <w:t xml:space="preserve">3. Die zulässige Abladetiefe beträgt von der Schleuse Bamberg bis zur Einmündung in die Donau (km 170,78) 2,70 m.</w:t>
      </w:r>
    </w:p>
    <w:p>
      <w:r>
        <w:rPr>
          <w:color w:val="555555"/>
          <w:sz w:val="17"/>
        </w:rPr>
        <w:t xml:space="preserve">Zitiervorschlag: § 12.02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