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21.10.2025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 die zugelassene Höchstgeschwindigkeit nach § 11.04 nicht überschreitet,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11.06 Nummer 1 Satz 1 und Nummer 2, jeweils auch in Verbindung mit Nummer 3,</w:t>
      </w:r>
    </w:p>
    <w:p>
      <w:pPr>
        <w:ind w:left="1140"/>
      </w:pPr>
      <w:r>
        <w:t xml:space="preserve">bb) die Schifffahrt bei Hochwasser nach § 11.11 Nummer 1 und 2,</w:t>
      </w:r>
    </w:p>
    <w:p>
      <w:pPr>
        <w:ind w:left="1140"/>
      </w:pPr>
      <w:r>
        <w:t xml:space="preserve">cc) die Durchfahrt oder das Verhalten beim Durchfahren</w:t>
      </w:r>
    </w:p>
    <w:p>
      <w:pPr>
        <w:ind w:left="1500"/>
      </w:pPr>
      <w:r>
        <w:t xml:space="preserve">aaa) der Friedensbrücke in Würzburg nach § 11.18 Nummer 1 Satz 1 bis 3 und</w:t>
      </w:r>
    </w:p>
    <w:p>
      <w:pPr>
        <w:ind w:left="1500"/>
      </w:pPr>
      <w:r>
        <w:t xml:space="preserve">bbb) der Eisenbahnbrücke bei Hallstadt nach § 11.18 Nummer 2 und</w:t>
      </w:r>
    </w:p>
    <w:p>
      <w:pPr>
        <w:ind w:left="1140"/>
      </w:pPr>
      <w:r>
        <w:t xml:space="preserve">dd) die Benutzung der Bootsschleusen und Bootsumsetzanlagen nach § 11.19 Nummer 1 und 2</w:t>
      </w:r>
    </w:p>
    <w:p>
      <w:pPr>
        <w:ind w:left="780"/>
      </w:pPr>
      <w:r>
        <w:t xml:space="preserve">einzuhalten oder sicherzustellen, dass diese eingehalten werden, und</w:t>
      </w:r>
    </w:p>
    <w:p>
      <w:pPr>
        <w:ind w:left="780"/>
      </w:pPr>
      <w:r>
        <w:t xml:space="preserve">c) eine nach § 11.12 erteilte Weisung, rechtzeitig einen Schutzhafen oder eine geeignete Liegestelle aufzusuchen, einzuhalten oder sicherzustellen, dass diese eingehalten wird.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 die zugelassenen Höchstabmessungen nach § 11.02 Nummer 1 Satz 1 nicht überschreitet und</w:t>
      </w:r>
    </w:p>
    <w:p>
      <w:pPr>
        <w:ind w:left="1140"/>
      </w:pPr>
      <w:r>
        <w:t xml:space="preserve">bb) auf dem von ihm geführten Fahrzeug oder Verband die nach § 11.02 Nummer 1 Satz 2 in Verbindung mit Satz 3, auch in Verbindung mit den Sätzen 4 und 5, jeweils angegebene Ausrüstung vorhanden ist,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11.03 Nummer 1 Satz 1 und Nummer 2 und</w:t>
      </w:r>
    </w:p>
    <w:p>
      <w:pPr>
        <w:ind w:left="1140"/>
      </w:pPr>
      <w:r>
        <w:t xml:space="preserve">bb) die Meldepflicht nach § 11.15 Nummer 1 Satz 1, 2, Nummer 2 Satz 2 bis 4 und Nummer 3 bis 5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die Regelung über den Verkehr nach § 11.22 zu beachten oder sicherzustellen, dass diese beachtet wird,</w:t>
      </w:r>
    </w:p>
    <w:p>
      <w:pPr>
        <w:ind w:left="780"/>
      </w:pPr>
      <w:r>
        <w:t xml:space="preserve">d) die Verkehrsbeschränkung nach § 11.27 Nummer 1 Satz 1 zu beachten oder sicherzustellen, dass diese beachtet wird, und</w:t>
      </w:r>
    </w:p>
    <w:p>
      <w:pPr>
        <w:ind w:left="780"/>
      </w:pPr>
      <w:r>
        <w:t xml:space="preserve">e) das in § 11.27 Nummer 2 Satz 1 vorgesehene Verbot, die dort angegebene Binnenschifffahrtsstraße zu befahren,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</w:t>
      </w:r>
    </w:p>
    <w:p>
      <w:pPr>
        <w:ind w:left="780"/>
      </w:pPr>
      <w:r>
        <w:t xml:space="preserve">a) das Fahrzeug oder der Verband die zugelassenen Höchstabmessungen nach § 11.02 Nummer 1 Satz 1 nicht überschreitet und</w:t>
      </w:r>
    </w:p>
    <w:p>
      <w:pPr>
        <w:ind w:left="780"/>
      </w:pPr>
      <w:r>
        <w:t xml:space="preserve">b) die nach § 11.02 Nummer 1 Satz 2 in Verbindung mit Satz 3, auch in Verbindung mit den Sätzen 4 und 5, jeweils angegebene Ausrüstung vorhanden ist.</w:t>
      </w:r>
    </w:p>
    <w:p>
      <w:r>
        <w:rPr>
          <w:color w:val="555555"/>
          <w:sz w:val="17"/>
        </w:rPr>
        <w:t xml:space="preserve">Zitiervorschlag: § 11.29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