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11.27 BinSchStrO 2012 — Verkehrsbeschränkungen der Schifffahrt</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Bei einem Wasserstand am Richtpegel Würzburg von 200 cm und mehr darf die Talfahrt ab Schleuse Randersacker und auf der Strecke zwischen Randersacker und der Ludwigsbrücke (Löwenbrücke) in Würzburg nur mit Erlaubnis der Schleusenaufsicht Randersacker angetreten werden. Satz 1 gilt nicht für ein Kleinfahrzeug.</w:t>
      </w:r>
    </w:p>
    <w:p>
      <w:pPr>
        <w:ind w:left="420"/>
      </w:pPr>
      <w:r>
        <w:t xml:space="preserve">2. Das Befahren der Binnenschifffahrtsstraße unterhalb km 387,40 bis oberhalb der Eisenbahnbrücke bei Hallstadt (km 387,69) ist verboten. Satz 1 gilt nicht für ein Kleinfahrzeug.</w:t>
      </w:r>
    </w:p>
    <w:p>
      <w:r>
        <w:rPr>
          <w:color w:val="555555"/>
          <w:sz w:val="17"/>
        </w:rPr>
        <w:t xml:space="preserve">Zitiervorschlag: § 11.27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https://recht.nulegal.eu/gesetze/BinSchStrO%202012/11.27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