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11.23 BinSchStrO 2012 — Regelungen zum Sprechfunk</w:t>
      </w:r>
    </w:p>
    <w:p>
      <w:r>
        <w:rPr>
          <w:color w:val="555555"/>
          <w:sz w:val="18"/>
        </w:rPr>
        <w:t xml:space="preserve">Binnenschifffahrtsstraßen-Ordnung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(keine besonderen Vorschriften)</w:t>
      </w:r>
    </w:p>
    <w:p>
      <w:r>
        <w:rPr>
          <w:color w:val="555555"/>
          <w:sz w:val="17"/>
        </w:rPr>
        <w:t xml:space="preserve">Zitiervorschlag: § 11.23 BinSchStrO 2012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https://recht.nulegal.eu/gesetze/BinSchStrO%202012/11.23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