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Für ein Kleinfahrzeug kann die zuständige Behörde für bestimmte örtliche Bereiche das Stillliegen ohne die Nachtbezeichnung nach § 3.20 Nummer 2 zulassen.</w:t>
      </w:r>
    </w:p>
    <w:p>
      <w:pPr>
        <w:ind w:left="420"/>
      </w:pPr>
      <w:r>
        <w:t xml:space="preserve">2. Die zuständige Behörde kann abweichend von § 7.02 Nummer 1 Buchstabe l Ausnahmen vom Liegeverbot zulassen.</w:t>
      </w:r>
    </w:p>
    <w:p>
      <w:r>
        <w:rPr>
          <w:color w:val="555555"/>
          <w:sz w:val="17"/>
        </w:rPr>
        <w:t xml:space="preserve">Zitiervorschlag: § 11.10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