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11.01 BinSchStrO 2012 — Anwendungsbereich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Kapitels gelten auf dem Main (Ma) von der Mündung in den Rhein (Rh-km 496,63) bis oberhalb der Eisenbahnbrücke bei Hallstadt (Ma-km 387,69).</w:t>
      </w:r>
    </w:p>
    <w:p>
      <w:r>
        <w:rPr>
          <w:color w:val="555555"/>
          <w:sz w:val="17"/>
        </w:rPr>
        <w:t xml:space="preserve">Zitiervorschlag: § 11.01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