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1.26 BinSchStrO 2012 — Fahrgeschwindigkeit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Geschwindigkeitsbeschränkungen nach § 10.04 Nummer 1 und 2, §§ 11.04, 12.04 Nummer 1, § 13.04 Nummer 1, §§ 14.04, 15.04 Nummer 1 bis 4, § 16.04 Nummer 1 bis 3, §§ 18.04, 19.04 Nummer 1 und 2, § 20.04 Nummer 1, § 21.04 Nummer 1 bis 3, 4 Satz 1, § 22.04 Nummer 1 bis 3, 4 Satz 1, § 23.04 Nummer 1 und 2 Satz 1, § 24.04 Nummer 1, 2 Satz 1 und Nummer 3, 4, 5 Satz 1, § 25.04 Nummer 1 und 2, § 26.04 Nummer 1 und § 27.04 Nummer 1 und 2 gelten nicht</w:t>
      </w:r>
    </w:p>
    <w:p>
      <w:pPr>
        <w:ind w:left="420"/>
      </w:pPr>
      <w:r>
        <w:t xml:space="preserve">1. für ein Kleinfahrzeug, das einen oder mehrere Wasserskiläufer auf den für das Wasserskilaufen durch das Zeichen E.17 freigegebenen Strecken zieht,</w:t>
      </w:r>
    </w:p>
    <w:p>
      <w:pPr>
        <w:ind w:left="420"/>
      </w:pPr>
      <w:r>
        <w:t xml:space="preserve">2. für ein Wassermotorrad auf den durch das Zeichen E.22 freigegebenen Strecken,</w:t>
      </w:r>
    </w:p>
    <w:p>
      <w:pPr>
        <w:ind w:left="420"/>
      </w:pPr>
      <w:r>
        <w:t xml:space="preserve">3. für ein Fahrzeug mit Sondererlaubnis von der zuständigen Behörde.</w:t>
      </w:r>
    </w:p>
    <w:p>
      <w:r>
        <w:rPr>
          <w:color w:val="555555"/>
          <w:sz w:val="17"/>
        </w:rPr>
        <w:t xml:space="preserve">Zitiervorschlag: § 1.26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