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BinSchStrO 2012 — Erlaubnis besonderer Veranstaltungen</w:t>
      </w:r>
    </w:p>
    <w:p>
      <w:r>
        <w:rPr>
          <w:color w:val="555555"/>
          <w:sz w:val="18"/>
        </w:rPr>
        <w:t xml:space="preserve">Binnenschifffahrtsstraßen-Ordnung</w:t>
      </w:r>
    </w:p>
    <w:p>
      <w:r>
        <w:rPr>
          <w:color w:val="555555"/>
          <w:sz w:val="18"/>
        </w:rPr>
        <w:t xml:space="preserve">Stand: 10.06.2019 (konsolidierte Textfassung, kein amtliches Inkrafttretensdatum)</w:t>
      </w:r>
    </w:p>
    <w:p>
      <w:r>
        <w:t xml:space="preserve">Eine sportliche Veranstaltung, Wasserfestlichkeit oder sonstige Veranstaltung, die die Sicherheit und Leichtigkeit des Verkehrs beeinträchtigen kann, bedarf der Erlaubnis der zuständigen Behörde. Die Erlaubnis ist mit den zur Gewährleistung der Sicherheit und Leichtigkeit des Schiffsverkehrs erforderlichen Auflagen zu versehen.</w:t>
      </w:r>
    </w:p>
    <w:p>
      <w:r>
        <w:rPr>
          <w:color w:val="555555"/>
          <w:sz w:val="17"/>
        </w:rPr>
        <w:t xml:space="preserve">Zitiervorschlag: § 1.23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