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1.21 BinSchStrO 2012 — Sondertransporte</w:t>
      </w:r>
    </w:p>
    <w:p>
      <w:r>
        <w:rPr>
          <w:color w:val="555555"/>
          <w:sz w:val="18"/>
        </w:rPr>
        <w:t xml:space="preserve">Binnenschifffahrtsstraßen-Ordnung</w:t>
      </w:r>
    </w:p>
    <w:p>
      <w:r>
        <w:rPr>
          <w:color w:val="555555"/>
          <w:sz w:val="18"/>
        </w:rPr>
        <w:t xml:space="preserve">Stand: 10.06.2019 (konsolidierte Textfassung, kein amtliches Inkrafttretensdatum)</w:t>
      </w:r>
    </w:p>
    <w:p>
      <w:pPr>
        <w:ind w:left="420"/>
      </w:pPr>
      <w:r>
        <w:t xml:space="preserve">1. Als Sondertransport gilt die Fortbewegung</w:t>
      </w:r>
    </w:p>
    <w:p>
      <w:pPr>
        <w:ind w:left="780"/>
      </w:pPr>
      <w:r>
        <w:t xml:space="preserve">a) eines Fahrzeugs oder Verbandes, das oder der nicht den Anforderungen des § 1.06 Nummer 1 und des § 1.08 Nummer 1 entspricht,</w:t>
      </w:r>
    </w:p>
    <w:p>
      <w:pPr>
        <w:ind w:left="780"/>
      </w:pPr>
      <w:r>
        <w:t xml:space="preserve">b) einer schwimmenden Anlage, eines Wasserflugzeuges oder Flugbootes außerhalb von genehmigten Flugplätzen nach § 6 des Luftverkehrsgesetzes oder von Außenstart- und Außenlandegeländen nach § 25 des Luftverkehrsgesetzes, eines Bodeneffektfahrzeugs, Luftkissenfahrzeugs, Tragflächenfahrzeugs oder eines Fahrzeugs, das geeignet ist, unter Wasser zu verkehren, soweit es sich nicht um ein Fahrzeug handelt, das nach der Binnenschiffsuntersuchungsordnung zulassungspflichtig ist,</w:t>
      </w:r>
    </w:p>
    <w:p>
      <w:pPr>
        <w:ind w:left="780"/>
      </w:pPr>
      <w:r>
        <w:t xml:space="preserve">c) eines Schwimmkörpers, soweit dabei nicht offensichtlich eine Behinderung oder Gefährdung der Schifffahrt oder eine Beschädigung einer Anlage ausgeschlossen ist.</w:t>
      </w:r>
    </w:p>
    <w:p>
      <w:pPr>
        <w:ind w:left="420"/>
      </w:pPr>
      <w:r>
        <w:t xml:space="preserve">2. Ein Sondertransport darf nur mit Erlaubnis der Behörden, die für die jeweils zu durchfahrenden Strecken zuständig sind, durchgeführt werden. Die Erlaubnis ist mit den zur Gewährleistung der Sicherheit und Leichtigkeit des Schiffsverkehrs erforderlichen Auflagen zu versehen. § 1.06 Nummer 2 bleibt unberührt. Für jeden Sondertransport hat der Eigentümer und der Ausrüster jeweils unter Berücksichtigung des § 1.02 einen Schiffsführer zu bestimmen.</w:t>
      </w:r>
    </w:p>
    <w:p>
      <w:r>
        <w:rPr>
          <w:color w:val="555555"/>
          <w:sz w:val="17"/>
        </w:rPr>
        <w:t xml:space="preserve">Zitiervorschlag: § 1.21 BinSchStrO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https://recht.nulegal.eu/gesetze/BinSchStrO%202012/1.21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