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BinSchStrO 2012 — Freimachen des Fahrwassers</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Wenn ein festgefahrenes oder gesunkenes Fahrzeug, ein festgefahrener oder gesunkener Schwimmkörper oder ein von einem Fahrzeug oder Schwimmkörper verlorener Gegenstand das Fahrwasser ganz oder teilweise sperrt oder zu sperren droht, hat der Schiffsführer die erforderlichen Maßnahmen zu treffen, um das Fahrwasser in kürzester Frist freizumachen.</w:t>
      </w:r>
    </w:p>
    <w:p>
      <w:pPr>
        <w:ind w:left="420"/>
      </w:pPr>
      <w:r>
        <w:t xml:space="preserve">2. Nummer 1 gilt entsprechend, wenn ein Fahrzeug oder Schwimmkörper zu sinken droht oder manövrierunfähig wird.</w:t>
      </w:r>
    </w:p>
    <w:p>
      <w:r>
        <w:rPr>
          <w:color w:val="555555"/>
          <w:sz w:val="17"/>
        </w:rPr>
        <w:t xml:space="preserve">Zitiervorschlag: § 1.18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