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BinSchStrO 2012 — Festgefahrene oder gesunkene Fahrzeuge; Anzeige von Unfällen</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Der Schiffsführer eines festgefahrenen oder gesunkenen Fahrzeugs oder eines festgefahrenen oder gesunkenen Schwimmkörpers muss unverzüglich für die Benachrichtigung der nächsten Dienststelle der Wasserstraßen- und Schifffahrtsverwaltung des Bundes oder der nächsten Dienststelle der Wasserschutzpolizei sorgen. Er oder das von ihm bestimmte Mitglied der Besatzung muss an Bord oder in der Nähe der Unfallstelle bleiben, bis Beschäftigte der Strom- und Schifffahrtspolizeibehörde, einer nachgeordneten Dienststelle oder der Wasserschutzpolizei ihm gestatten, sich zu entfernen.</w:t>
      </w:r>
    </w:p>
    <w:p>
      <w:pPr>
        <w:ind w:left="420"/>
      </w:pPr>
      <w:r>
        <w:t xml:space="preserve">2. Sofern es nicht offensichtlich unnötig ist, muss der Schiffsführer eines festgefahrenen oder gesunkenen Fahrzeugs oder Schwimmkörpers unbeschadet des § 3.25 unverzüglich für eine Wahrschau der herankommenden Fahrzeuge oder Schwimmkörper an geeigneten Stellen und in einer solchen Entfernung von der Unfallstelle sorgen, dass diese rechtzeitig die erforderlichen Maßnahmen treffen können.</w:t>
      </w:r>
    </w:p>
    <w:p>
      <w:pPr>
        <w:ind w:left="420"/>
      </w:pPr>
      <w:r>
        <w:t xml:space="preserve">3. Ereignet sich der Unfall im Sinne der Nummer 1 oder des § 1.16 in einer Schleuse nach § 6.28 Nummer 1, muss der Schiffsführer die Schleusenaufsicht unverzüglich benachrichtigen.</w:t>
      </w:r>
    </w:p>
    <w:p>
      <w:pPr>
        <w:ind w:left="420"/>
      </w:pPr>
      <w:r>
        <w:t xml:space="preserve">4. Ereignet sich der Unfall im Sinne der Nummer 1 oder des § 1.16 oder eine Störung des Verkehrs oder des Betriebes im Bereich einer selbstbedienten oder automatisierten Schleuse, muss der Schiffsführer unverzüglich die nächste Dienststelle der Wasserstraßen- und Schifffahrtsverwaltung des Bundes oder die nächste Dienststelle der Wasserschutzpolizei benachrichtigen.</w:t>
      </w:r>
    </w:p>
    <w:p>
      <w:pPr>
        <w:ind w:left="420"/>
      </w:pPr>
      <w:r>
        <w:t xml:space="preserve">5. Die Nummern 1 bis 4 gelten auch, wenn infolge eines Unfalls die Sicherheit und Leichtigkeit des Schiffsverkehrs beeinträchtigt wird.</w:t>
      </w:r>
    </w:p>
    <w:p>
      <w:r>
        <w:rPr>
          <w:color w:val="555555"/>
          <w:sz w:val="17"/>
        </w:rPr>
        <w:t xml:space="preserve">Zitiervorschlag: § 1.17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