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BinSchStrO 2012 — Mitführen von Urkunden und sonstigen Unterlagen</w:t>
      </w:r>
    </w:p>
    <w:p>
      <w:r>
        <w:rPr>
          <w:color w:val="555555"/>
          <w:sz w:val="18"/>
        </w:rPr>
        <w:t xml:space="preserve">Binnenschifffahrtsstraßen-Ordnung</w:t>
      </w:r>
    </w:p>
    <w:p>
      <w:r>
        <w:rPr>
          <w:color w:val="555555"/>
          <w:sz w:val="18"/>
        </w:rPr>
        <w:t xml:space="preserve">Stand: 21.10.2025 (konsolidierte Textfassung, kein amtliches Inkrafttretensdatum)</w:t>
      </w:r>
    </w:p>
    <w:p>
      <w:pPr>
        <w:ind w:left="420"/>
      </w:pPr>
      <w:r>
        <w:t xml:space="preserve">1. Folgende Urkunden und sonstige Unterlagen müssen sich an Bord befinden, soweit sie auf Grund besonderer Vorschriften vorgeschrieben sind:</w:t>
      </w:r>
    </w:p>
    <w:p>
      <w:pPr>
        <w:ind w:left="780"/>
      </w:pPr>
      <w:r>
        <w:t xml:space="preserve">a) Urkunden zum Fahrzeug:</w:t>
      </w:r>
    </w:p>
    <w:p>
      <w:pPr>
        <w:ind w:left="1140"/>
      </w:pPr>
      <w:r>
        <w:t xml:space="preserve">aa) die Fahrtauglichkeitsbescheinigung oder die als Ersatz zugelassene Urkunde;</w:t>
      </w:r>
    </w:p>
    <w:p>
      <w:pPr>
        <w:ind w:left="1140"/>
      </w:pPr>
      <w:r>
        <w:t xml:space="preserve">bb) der Eichschein des Fahrzeugs;</w:t>
      </w:r>
    </w:p>
    <w:p>
      <w:pPr>
        <w:ind w:left="1140"/>
      </w:pPr>
      <w:r>
        <w:t xml:space="preserve">cc) die Urkunde über das Kennzeichen für Kleinfahrzeuge oder die für das als Ersatz anerkannte Kennzeichen ausgestellte Bescheinigung.</w:t>
      </w:r>
    </w:p>
    <w:p>
      <w:pPr>
        <w:ind w:left="780"/>
      </w:pPr>
      <w:r>
        <w:t xml:space="preserve">b) Urkunden und Unterlagen zur Besatzung:</w:t>
      </w:r>
    </w:p>
    <w:p>
      <w:pPr>
        <w:ind w:left="1140"/>
      </w:pPr>
      <w:r>
        <w:t xml:space="preserve">aa) das Befähigungszeugnis oder die sonstige Erlaubnis zum Führen von Fahrzeugen des Schiffsführers;</w:t>
      </w:r>
    </w:p>
    <w:p>
      <w:pPr>
        <w:ind w:left="1140"/>
      </w:pPr>
      <w:r>
        <w:t xml:space="preserve">bb) der ordnungsgemäß ausgefüllte Qualifikationsnachweis, das Befähigungszeugnis oder die sonstige Erlaubnis zum Führen von Fahrzeugen der anderen Mitglieder der Besatzung;</w:t>
      </w:r>
    </w:p>
    <w:p>
      <w:pPr>
        <w:ind w:left="1140"/>
      </w:pPr>
      <w:r>
        <w:t xml:space="preserve">cc) der Nachweis der besonderen Berechtigung für das Befahren eines als Binnenwasserstraßenabschnitt mit besonderen Risiken ausgewiesenen Streckenabschnitts nach der Binnenschiffspersonalverordnung oder das nach der Binnenschiffspersonalverordnung weitergeltende Streckenzeugnis des Schiffsführers;</w:t>
      </w:r>
    </w:p>
    <w:p>
      <w:pPr>
        <w:ind w:left="1140"/>
      </w:pPr>
      <w:r>
        <w:t xml:space="preserve">dd) der Nachweis der besonderen Berechtigung für das Befahren eines als Binnenwasserstraßenabschnitt mit besonderen Risiken ausgewiesenen Streckenabschnitts nach der Binnenschiffspersonalverordnung oder das nach der Binnenschiffspersonalverordnung weitergeltende Streckenzeugnis der anderen Mitglieder der Besatzung;</w:t>
      </w:r>
    </w:p>
    <w:p>
      <w:pPr>
        <w:ind w:left="1140"/>
      </w:pPr>
      <w:r>
        <w:t xml:space="preserve">ee) das ordnungsgemäß ausgefüllte Bordbuch oder Fahrtenbuch;</w:t>
      </w:r>
    </w:p>
    <w:p>
      <w:pPr>
        <w:ind w:left="1140"/>
      </w:pPr>
      <w:r>
        <w:t xml:space="preserve">ff) die Bescheinigung über die Ausgabe der Bordbücher;</w:t>
      </w:r>
    </w:p>
    <w:p>
      <w:pPr>
        <w:ind w:left="1140"/>
      </w:pPr>
      <w:r>
        <w:t xml:space="preserve">gg) der Nachweis der besonderen Berechtigung für Radar nach der Binnenschiffspersonalverordnung, der nach der Binnenschiffspersonalverordnung gleichgestellte Nachweis oder das nach der Binnenschiffspersonalverordnung weitergeltende Radarpatent;</w:t>
      </w:r>
    </w:p>
    <w:p>
      <w:pPr>
        <w:ind w:left="1140"/>
      </w:pPr>
      <w:r>
        <w:t xml:space="preserve">hh) ein Sprechfunkzeugnis für den Binnenschifffahrtsfunk;</w:t>
      </w:r>
    </w:p>
    <w:p>
      <w:pPr>
        <w:ind w:left="1140"/>
      </w:pPr>
      <w:r>
        <w:t xml:space="preserve">ii) bei einem Fahrzeug, das das Kennzeichen nach § 2.06 trägt, jeweils das Befähigungszeugnis für Sachkundige für Flüssigerdgas (LNG) des Schiffsführers und der Besatzungsmitglieder, die am Bunkervorgang beteiligt sind;</w:t>
      </w:r>
    </w:p>
    <w:p>
      <w:pPr>
        <w:ind w:left="1140"/>
      </w:pPr>
      <w:r>
        <w:t xml:space="preserve">jj) das Befähigungszeugnis für Sachkundige für die Fahrgastschifffahrt.</w:t>
      </w:r>
    </w:p>
    <w:p>
      <w:pPr>
        <w:ind w:left="780"/>
      </w:pPr>
      <w:r>
        <w:t xml:space="preserve">c) Urkunden zum Fahrtgebiet:die Bescheinigung über die Dauer und örtliche Begrenzung der Baustelle, auf der das Baustellenfahrzeug eingesetzt werden darf.</w:t>
      </w:r>
    </w:p>
    <w:p>
      <w:pPr>
        <w:ind w:left="780"/>
      </w:pPr>
      <w:r>
        <w:t xml:space="preserve">d) Urkunden und Unterlagen zu den Informations- und Navigationsgeräten:</w:t>
      </w:r>
    </w:p>
    <w:p>
      <w:pPr>
        <w:ind w:left="1140"/>
      </w:pPr>
      <w:r>
        <w:t xml:space="preserve">aa) die Bescheinigung über Einbau und Funktion von Radaranlagen und Wendeanzeiger;</w:t>
      </w:r>
    </w:p>
    <w:p>
      <w:pPr>
        <w:ind w:left="1140"/>
      </w:pPr>
      <w:r>
        <w:t xml:space="preserve">bb) die Bescheinigung über Einbau und Funktion von Inland AIS Geräten;</w:t>
      </w:r>
    </w:p>
    <w:p>
      <w:pPr>
        <w:ind w:left="1140"/>
      </w:pPr>
      <w:r>
        <w:t xml:space="preserve">cc) die Bescheinigung über Einbau und Funktion des Fahrtenschreibers sowie die vorgeschriebenen Aufzeichnungen des Fahrtenschreibers;</w:t>
      </w:r>
    </w:p>
    <w:p>
      <w:pPr>
        <w:ind w:left="1140"/>
      </w:pPr>
      <w:r>
        <w:t xml:space="preserve">dd) die Urkunde Frequenzzuteilung oder die Urkunde Zuteilungszeugnis;</w:t>
      </w:r>
    </w:p>
    <w:p>
      <w:pPr>
        <w:ind w:left="1140"/>
      </w:pPr>
      <w:r>
        <w:t xml:space="preserve">ee) ein Abdruck des Handbuchs Binnenschifffahrtsfunk, Allgemeiner Teil und Regionaler Teil Deutschland für die befahrene Wasserstraße, in der jeweils geltenden Fassung.</w:t>
      </w:r>
    </w:p>
    <w:p>
      <w:pPr>
        <w:ind w:left="780"/>
      </w:pPr>
      <w:r>
        <w:t xml:space="preserve">e) Urkunden und Unterlagen zur Ausrüstung des Fahrzeugs:</w:t>
      </w:r>
    </w:p>
    <w:p>
      <w:pPr>
        <w:ind w:left="1140"/>
      </w:pPr>
      <w:r>
        <w:t xml:space="preserve">aa) die Bescheinigung über die Prüfung motorisch betriebener Steuereinrichtungen;</w:t>
      </w:r>
    </w:p>
    <w:p>
      <w:pPr>
        <w:ind w:left="1140"/>
      </w:pPr>
      <w:r>
        <w:t xml:space="preserve">bb) die Bescheinigung über die Prüfung des in der Höhe verstellbaren Steuerhauses;</w:t>
      </w:r>
    </w:p>
    <w:p>
      <w:pPr>
        <w:ind w:left="1140"/>
      </w:pPr>
      <w:r>
        <w:t xml:space="preserve">cc) die Bescheinigung über die Prüfung der Schiffsdampfkessel und sonstigen Druckbehälter;</w:t>
      </w:r>
    </w:p>
    <w:p>
      <w:pPr>
        <w:ind w:left="1140"/>
      </w:pPr>
      <w:r>
        <w:t xml:space="preserve">dd) die Kopie des Typgenehmigungsbogens des Schiffsantriebs, die Anleitung des Motorenherstellers und das Motorparameterprotokoll;</w:t>
      </w:r>
    </w:p>
    <w:p>
      <w:pPr>
        <w:ind w:left="1140"/>
      </w:pPr>
      <w:r>
        <w:t xml:space="preserve">ee) die Unterlagen über elektrische Anlagen;</w:t>
      </w:r>
    </w:p>
    <w:p>
      <w:pPr>
        <w:ind w:left="1140"/>
      </w:pPr>
      <w:r>
        <w:t xml:space="preserve">ff) das Zeugnis über die Drahtseile;</w:t>
      </w:r>
    </w:p>
    <w:p>
      <w:pPr>
        <w:ind w:left="1140"/>
      </w:pPr>
      <w:r>
        <w:t xml:space="preserve">gg) die Prüfbescheinigung über fest installierte Feuerlöschanlagen;</w:t>
      </w:r>
    </w:p>
    <w:p>
      <w:pPr>
        <w:ind w:left="1140"/>
      </w:pPr>
      <w:r>
        <w:t xml:space="preserve">hh) die Prüfbescheinigung über Krane;</w:t>
      </w:r>
    </w:p>
    <w:p>
      <w:pPr>
        <w:ind w:left="1140"/>
      </w:pPr>
      <w:r>
        <w:t xml:space="preserve">ii) die Bedienungsanleitung des Kranherstellers;</w:t>
      </w:r>
    </w:p>
    <w:p>
      <w:pPr>
        <w:ind w:left="1140"/>
      </w:pPr>
      <w:r>
        <w:t xml:space="preserve">jj) die Bescheinigung über die Prüfung von Flüssiggasanlagen;</w:t>
      </w:r>
    </w:p>
    <w:p>
      <w:pPr>
        <w:ind w:left="1140"/>
      </w:pPr>
      <w:r>
        <w:t xml:space="preserve">kk) die Kopie des Typgenehmigungsbogens der Bordkläranlage und des Bordkläranlagenparameterprotokolls oder ein Wartungsnachweis;</w:t>
      </w:r>
    </w:p>
    <w:p>
      <w:pPr>
        <w:ind w:left="1140"/>
      </w:pPr>
      <w:r>
        <w:t xml:space="preserve">ll) bei Fahrzeugen, die das Kennzeichen nach § 2.06 tragen, das in Anlage 8 Nummer 1.4.9 ES-TRIN vorgeschriebene Betriebshandbuch und die in Artikel 30.03 Nummer 1 Satz 1 ES-TRIN vorgeschriebene Sicherheitsrolle.</w:t>
      </w:r>
    </w:p>
    <w:p>
      <w:pPr>
        <w:ind w:left="780"/>
      </w:pPr>
      <w:r>
        <w:t xml:space="preserve">f) Urkunden und Unterlagen zur Ladung und zu den Betriebsstoffen:</w:t>
      </w:r>
    </w:p>
    <w:p>
      <w:pPr>
        <w:ind w:left="1140"/>
      </w:pPr>
      <w:r>
        <w:t xml:space="preserve">aa) die nach den Unterabschnitten 8.1.2.1, 8.1.2.2 und 8.1.2.3 des ADN erforderlichen Urkunden und Unterlagen;</w:t>
      </w:r>
    </w:p>
    <w:p>
      <w:pPr>
        <w:ind w:left="1140"/>
      </w:pPr>
      <w:r>
        <w:t xml:space="preserve">bb) bei Containerbeförderung</w:t>
      </w:r>
    </w:p>
    <w:p>
      <w:pPr>
        <w:ind w:left="1500"/>
      </w:pPr>
      <w:r>
        <w:t xml:space="preserve">aaa) die von der Generaldirektion Wasserstraßen und Schifffahrt geprüften Stabilitätsunterlagen des Fahrzeugs;</w:t>
      </w:r>
    </w:p>
    <w:p>
      <w:pPr>
        <w:ind w:left="1500"/>
      </w:pPr>
      <w:r>
        <w:t xml:space="preserve">bbb) das Ergebnis der Stabilitätsprüfung und der aktuelle Stauplan; das Ergebnis der Stabilitätsprüfung und der aktuelle Stauplan können auch elektronisch mitgeführt werden, wenn sie jederzeit lesbar gemacht werden können;</w:t>
      </w:r>
    </w:p>
    <w:p>
      <w:pPr>
        <w:ind w:left="1140"/>
      </w:pPr>
      <w:r>
        <w:t xml:space="preserve">cc) das ordnungsgemäß ausgefüllte Ölkontrollbuch;</w:t>
      </w:r>
    </w:p>
    <w:p>
      <w:pPr>
        <w:ind w:left="1140"/>
      </w:pPr>
      <w:r>
        <w:t xml:space="preserve">dd) der Bezugsnachweis für Gasöl, einschließlich der Quittungen für die Entgelttransaktionen des SPE-CDNI über einen Zeitraum von mindestens zwölf Monaten; liegt der letzte Bezug von Gasöl mehr als zwölf Monate zurück, der letzte Bezugsnachweis von Gasöl;</w:t>
      </w:r>
    </w:p>
    <w:p>
      <w:pPr>
        <w:ind w:left="1140"/>
      </w:pPr>
      <w:r>
        <w:t xml:space="preserve">ee) die Entladebescheinigung.</w:t>
      </w:r>
    </w:p>
    <w:p>
      <w:pPr>
        <w:ind w:left="420"/>
      </w:pPr>
      <w:r>
        <w:t xml:space="preserve">Die Urkunden nach Satz 1 Buchstabe b Doppelbuchstabe aa, ii und jj können auch in einer jederzeit lesbaren, elektronischen Textfassung, die der Anforderung des Musters des Anhangs I Nummer 1 der Durchführungsverordnung (EU) 2020/182 der Kommission vom 14. Januar 2020 über Muster im Bereich der Berufsqualifikationen in der Binnenschifffahrt (ABl. L 38 vom 11.2.2020, S. 1) genügt, an Bord mitgeführt werden. Die Urkunden und Unterlagen nach Satz 1 Buchstabe b Doppelbuchstabe ff, Buchstabe c und d Doppelbuchstabe aa bis dd, Buchstabe e und f Doppelbuchstabe bb und dd können auch in einer jederzeit lesbaren, elektronischen Textfassung im Dateiformat PDF, die Unterlage nach Satz 1 Buchstabe f Doppelbuchstabe ee kann auch in einer jederzeit lesbaren, elektronischen Textfassung mit fälschungssicherer Signatur nach Artikel 26 der Verordnung (EU) Nr. 910/2014 in der Fassung vom 23. Juli 2014 an Bord mitgeführt werden. Das Beförderungspapier nach Unterabschnitt 8.1.2.1 Buchstabe b des ADN und die Schiffsstoffliste nach Unterabschnitt 8.1.2.3 Buchstabe g des ADN können auch in einer jederzeit lesbaren, elektronischen Textfassung in einem Format, das den Anforderungen des Unterabschnitt 5.4.0.2 des ADN in Verbindung mit dem Leitfaden für die Anwendung des Unterabschnitt 5.4.0.2 des ADN genügt, an Bord mitgeführt werden. Die Unterlage nach Satz 1 Buchstabe d Doppelbuchstabe ee und das Europäische Übereinkommen über die internationale Beförderung von gefährlichen Gütern auf Binnenwasserstraßen einschließlich der dem Übereinkommen als Anlage beigefügten Verordnung (Unterabschnitt 8.1.2.1 Buchstabe d des ADN) können auch in einer jederzeit lesbaren, elektronischen Textfassung mitgeführt werden.</w:t>
      </w:r>
    </w:p>
    <w:p>
      <w:pPr>
        <w:ind w:left="420"/>
      </w:pPr>
      <w:r>
        <w:t xml:space="preserve">2. Die Schiffspapiere nach Nummer 1 Buchstabe a Doppelbuchstabe aa und bb müssen jedoch nicht an Bord eines Schubleichters mitgeführt werden, auf dem eine Metalltafel nach folgendem Muster angebracht ist:</w:t>
      </w:r>
    </w:p>
    <w:p>
      <w:r>
        <w:rPr>
          <w:rFonts w:ascii="Courier New" w:hAnsi="Courier New"/>
          <w:sz w:val="17"/>
        </w:rPr>
        <w:t xml:space="preserve">EINHEITLICHE EUROPÄISCHE SCHIFFSNUMMER:    ______________________________________</w:t>
      </w:r>
    </w:p>
    <w:p>
      <w:r>
        <w:rPr>
          <w:rFonts w:ascii="Courier New" w:hAnsi="Courier New"/>
          <w:sz w:val="17"/>
        </w:rPr>
        <w:t xml:space="preserve">SCHIFFSATTEST/SCHIFFSZEUGNIS    ______________________________________</w:t>
      </w:r>
    </w:p>
    <w:p>
      <w:r>
        <w:rPr>
          <w:rFonts w:ascii="Courier New" w:hAnsi="Courier New"/>
          <w:sz w:val="17"/>
        </w:rPr>
        <w:t xml:space="preserve">– NUMMER:    ______________________________________</w:t>
      </w:r>
    </w:p>
    <w:p>
      <w:r>
        <w:rPr>
          <w:rFonts w:ascii="Courier New" w:hAnsi="Courier New"/>
          <w:sz w:val="17"/>
        </w:rPr>
        <w:t xml:space="preserve">– SUK:    ______________________________________</w:t>
      </w:r>
    </w:p>
    <w:p>
      <w:r>
        <w:rPr>
          <w:rFonts w:ascii="Courier New" w:hAnsi="Courier New"/>
          <w:sz w:val="17"/>
        </w:rPr>
        <w:t xml:space="preserve">– GÜLTIG BIS:    ______________________________________</w:t>
      </w:r>
    </w:p>
    <w:p>
      <w:pPr>
        <w:ind w:left="420"/>
      </w:pPr>
      <w:r>
        <w:t xml:space="preserve">Die geforderten Angaben müssen auf der Metalltafel in gut lesbaren Buchstaben von mindestens 6 mm Höhe eingeschlagen oder eingekörnt sein. Die Metalltafel muss mindestens 60 mm hoch und 120 mm lang sein. Sie muss gut sichtbar und dauerhaft auf der hinteren Steuerbordseite des Schubleichters befestigt sein. Die Übereinstimmung der Angaben auf der Metalltafel mit denen in der Fahrtauglichkeitsbescheinigung des Schubleichters muss von einer Schiffsuntersuchungskommission dadurch bestätigt sein, dass ihr Zeichen auf der Metalltafel eingeschlagen ist. Die Schiffspapiere nach Nummer 1 Buchstabe a Doppelbuchstabe aa und bb muss der Eigentümer des Schubleichters aufbewahren.</w:t>
      </w:r>
    </w:p>
    <w:p>
      <w:pPr>
        <w:ind w:left="420"/>
      </w:pPr>
      <w:r>
        <w:t xml:space="preserve">3. Nummer 2 gilt auch für ein anderes Fahrzeug ohne Antriebsmaschine, das nicht über Wohnräume, Steuerhäuser oder Aufenthaltsräume verfügt, sofern die Fahrtauglichkeitsbescheinigung keine Auflagen enthält oder das Erkennen von Auflagen anderweitig sichergestellt werden kann. Zusätzlich zu den Angaben nach Nummer 2 ist auf der Metalltafel die Mindestbesatzung anzugeben.</w:t>
      </w:r>
    </w:p>
    <w:p>
      <w:pPr>
        <w:ind w:left="420"/>
      </w:pPr>
      <w:r>
        <w:t xml:space="preserve">4. Auf einem schwimmenden Gerät müssen die Schiffspapiere nach Nummer 1 Buchstabe a Doppelbuchstabe aa nicht an Bord mitgeführt werden, wenn an dem Gerät eine Metalltafel nach Maßgabe der Nummer 2 angebracht ist.</w:t>
      </w:r>
    </w:p>
    <w:p>
      <w:pPr>
        <w:ind w:left="420"/>
      </w:pPr>
      <w:r>
        <w:t xml:space="preserve">5. Auf einem Baustellenfahrzeug nach ES-TRIN, auf dem weder ein Steuerhaus noch eine Wohnung vorhanden ist, müssen die Schiffspapiere nach Nummer 1 Buchstabe a Doppelbuchstabe aa und bb nicht an Bord mitgeführt werden. Der Eigentümer und der Ausrüster haben jedoch jeweils dafür zu sorgen, dass die Schiffspapiere jederzeit im Bereich der Baustelle verfügbar sind.</w:t>
      </w:r>
    </w:p>
    <w:p>
      <w:pPr>
        <w:ind w:left="420"/>
      </w:pPr>
      <w:r>
        <w:t xml:space="preserve">6. Auf einem schwimmenden Gerät oder einem Baustellenfahrzeug nach ES-TRIN müssen die Schiffspapiere nach Nummer 1 Buchstabe a Doppelbuchstabe aa und bb und Buchstabe b Doppelbuchstabe aa im Baustellenbereich nicht an Bord mitgeführt werden. Der Eigentümer und der Ausrüster haben jedoch jeweils dafür zu sorgen, dass die Schiffspapiere jederzeit im Bereich der Baustelle verfügbar sind.</w:t>
      </w:r>
    </w:p>
    <w:p>
      <w:pPr>
        <w:ind w:left="420"/>
      </w:pPr>
      <w:r>
        <w:t xml:space="preserve">7. Der Schiffsführer hat sicherzustellen, dass die folgenden Urkunden und Unterlagen an Bord mitgeführt werden:</w:t>
      </w:r>
    </w:p>
    <w:p>
      <w:pPr>
        <w:ind w:left="780"/>
      </w:pPr>
      <w:r>
        <w:t xml:space="preserve">a) Urkunden und Unterlagen nach Nummer 1 Buchstabe a Doppelbuchstabe bb, Buchstabe b Doppelbuchstabe aa, sofern es sich um keine Fahrerlaubnis für die Binnenschifffahrtsstraßen nach der Sportbootführerscheinverordnung handelt, Doppelbuchstabe bb, sofern es sich um keine Fahrerlaubnis für die Binnenschifffahrtsstraßen nach der Sportbootführerscheinverordnung handelt, Doppelbuchstabe cc bis jj, Buchstabe c, d, e Doppelbuchstabe aa, bb, ff, gg, hh, jj und ll und Buchstabe f Doppelbuchstabe bb, dd und ee und</w:t>
      </w:r>
    </w:p>
    <w:p>
      <w:pPr>
        <w:ind w:left="780"/>
      </w:pPr>
      <w:r>
        <w:t xml:space="preserve">b) Urkunden und Unterlagen nach Nummer 1 Buchstabe a Doppelbuchstabe aa und cc, Buchstabe b Doppelbuchstabe aa, sofern es sich um eine Fahrerlaubnis für die Binnenschifffahrtsstraßen nach der Sportbootführerscheinverordnung handelt, und Doppelbuchstabe bb, sofern es sich um eine Fahrerlaubnis für die Binnenschifffahrtsstraßen nach der Sportbootführerscheinverordnung handelt, Buchstabe e Doppelbuchstabe cc bis ee, ii und kk und Buchstabe f Doppelbuchstabe aa.</w:t>
      </w:r>
    </w:p>
    <w:p>
      <w:pPr>
        <w:ind w:left="420"/>
      </w:pPr>
      <w:r>
        <w:t xml:space="preserve">8. Der Eigentümer und der Ausrüster haben jeweils dafür zu sorgen, dass die folgenden Urkunden und sonstigen Unterlagen an Bord mitgeführt werden:</w:t>
      </w:r>
    </w:p>
    <w:p>
      <w:pPr>
        <w:ind w:left="780"/>
      </w:pPr>
      <w:r>
        <w:t xml:space="preserve">a) Urkunden und Unterlagen nach Nummer 1 Buchstabe a Doppelbuchstabe bb, Buchstabe c, d, e Doppelbuchstabe aa, bb, ff und ll und Buchstabe f Doppelbuchstabe bb Dreifachbuchstabe aaa und</w:t>
      </w:r>
    </w:p>
    <w:p>
      <w:pPr>
        <w:ind w:left="780"/>
      </w:pPr>
      <w:r>
        <w:t xml:space="preserve">b) Urkunden und Unterlagen nach Nummer 1 Buchstabe a Doppelbuchstabe aa und Buchstabe e Doppelbuchstabe dd, ee, ii und kk.</w:t>
      </w:r>
    </w:p>
    <w:p>
      <w:pPr>
        <w:ind w:left="420"/>
      </w:pPr>
      <w:r>
        <w:t xml:space="preserve">9. Der Schiffsführer hat sicherzustellen, dass die folgenden Urkunden und sonstigen Unterlagen auf Verlangen den zur Kontrolle befugten Personen ausgehändigt oder in einer jederzeit lesbaren, elektronischen Fassung nach den in Nummer 1 Satz 2 bis 5 genannten Anforderungen oder Formaten zur Verfügung gestellt werden:</w:t>
      </w:r>
    </w:p>
    <w:p>
      <w:pPr>
        <w:ind w:left="780"/>
      </w:pPr>
      <w:r>
        <w:t xml:space="preserve">a) Urkunden und Unterlagen nach Nummer 1 Buchstabe a Doppelbuchstabe aa und bb, Buchstabe b Doppelbuchstabe aa, sofern es sich um keine Fahrerlaubnis für die Binnenschifffahrtsstraßen nach der Sportbootführerscheinverordnung handelt, Doppelbuchstabe bb, sofern es sich um keine Fahrerlaubnis für die Binnenschifffahrtsstraßen nach der Sportbootführerschein-verordnung handelt, und Doppelbuchstabe cc bis jj, Buchstabe c, d, e Doppelbuchstabe aa, bb, ff bis hh, jj und ll und Buchstabe f Doppelbuchstabe bb und</w:t>
      </w:r>
    </w:p>
    <w:p>
      <w:pPr>
        <w:ind w:left="780"/>
      </w:pPr>
      <w:r>
        <w:t xml:space="preserve">b) Urkunden und Unterlagen nach Nummer 1 Buchstabe a Doppelbuchstabe cc, Buchstabe b Doppelbuchstabe aa, sofern es sich um eine Fahrerlaubnis für die Binnenschifffahrtsstraßen nach der Sportbootführerscheinverordnung handelt, Doppelbuchstabe bb, sofern es sich um eine Fahrerlaubnis für die Binnenschifffahrtsstraßen nach der Sportbootführerscheinverordnung handelt, Buchstabe e Doppelbuchstabe cc bis ee, ii und kk und Buchstabe f Doppelbuchstabe aa, dd und ee.</w:t>
      </w:r>
    </w:p>
    <w:p>
      <w:r>
        <w:rPr>
          <w:color w:val="555555"/>
          <w:sz w:val="17"/>
        </w:rPr>
        <w:t xml:space="preserve">Zitiervorschlag: § 1.10 BinSchStrO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https://recht.nulegal.eu/gesetze/BinSchStrO%202012/1.10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