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1.01 BinSchStrO 2012 — Begriffsbestimmungen</w:t>
      </w:r>
    </w:p>
    <w:p>
      <w:r>
        <w:rPr>
          <w:color w:val="555555"/>
          <w:sz w:val="18"/>
        </w:rPr>
        <w:t xml:space="preserve">Binnenschifffahrtsstraßen-Ordnung</w:t>
      </w:r>
    </w:p>
    <w:p>
      <w:r>
        <w:rPr>
          <w:color w:val="555555"/>
          <w:sz w:val="18"/>
        </w:rPr>
        <w:t xml:space="preserve">Stand: 21.10.2025 (konsolidierte Textfassung, kein amtliches Inkrafttretensdatum)</w:t>
      </w:r>
    </w:p>
    <w:p>
      <w:r>
        <w:t xml:space="preserve">In dieser Verordnung gelten als:</w:t>
      </w:r>
    </w:p>
    <w:p>
      <w:pPr>
        <w:ind w:left="420"/>
      </w:pPr>
      <w:r>
        <w:t xml:space="preserve">1. „Fahrzeug”: ein Binnenschiff, einschließlich Kleinfahrzeug und Fähre, sowie schwimmendes Gerät und ein Seeschiff;</w:t>
      </w:r>
    </w:p>
    <w:p>
      <w:pPr>
        <w:ind w:left="420"/>
      </w:pPr>
      <w:r>
        <w:t xml:space="preserve">2. „Fahrzeug mit Maschinenantrieb”: ein Fahrzeug mit eigener in Tätigkeit gesetzter Antriebsmaschine, ausgenommen ein solches Fahrzeug, dessen Motor nur zu kleinen Ortsveränderungen, insbesondere in einem Hafen oder an einer Umschlagstelle oder zur Erhöhung der Steuerfähigkeit des Fahrzeugs im Schlepp- oder Schubverband verwendet wird;</w:t>
      </w:r>
    </w:p>
    <w:p>
      <w:pPr>
        <w:ind w:left="420"/>
      </w:pPr>
      <w:r>
        <w:t xml:space="preserve">3. „Verband”: ein Schleppverband, ein Schubverband oder gekuppelte Fahrzeuge;</w:t>
      </w:r>
    </w:p>
    <w:p>
      <w:pPr>
        <w:ind w:left="420"/>
      </w:pPr>
      <w:r>
        <w:t xml:space="preserve">4. „Schleppverband”: eine Zusammenstellung von einem oder mehreren Fahrzeugen, schwimmenden Anlagen oder Schwimmkörpern, die von einem oder mehreren zum Verband gehörigen Fahrzeugen mit Maschinenantrieb geschleppt wird;</w:t>
      </w:r>
    </w:p>
    <w:p>
      <w:pPr>
        <w:ind w:left="420"/>
      </w:pPr>
      <w:r>
        <w:t xml:space="preserve">5. „Schubverband”: eine starre Verbindung von Fahrzeugen, von denen sich mindestens eines vor dem oder den Fahrzeugen mit Maschinenantrieb befindet, die den Verband fortbewegen und als „schiebendes Fahrzeug“ oder „schiebende Fahrzeuge“ bezeichnet werden; hierzu zählen auch Gelenkverbände, deren Kupplungen an nicht mehr als einer Stelle ein gesteuertes Knicken ermöglichen;</w:t>
      </w:r>
    </w:p>
    <w:p>
      <w:pPr>
        <w:ind w:left="420"/>
      </w:pPr>
      <w:r>
        <w:t xml:space="preserve">6. „Schubleichter”: ein zur Fortbewegung durch Schieben gebautes oder hierfür besonders eingerichtetes Fahrzeug;</w:t>
      </w:r>
    </w:p>
    <w:p>
      <w:pPr>
        <w:ind w:left="420"/>
      </w:pPr>
      <w:r>
        <w:t xml:space="preserve">7. „Trägerschiffsleichter”: ein Schubleichter, der für die Beförderung an Bord eines Seeschiffes und für die Fahrt auf Binnenwasserstraßen gebaut ist;</w:t>
      </w:r>
    </w:p>
    <w:p>
      <w:pPr>
        <w:ind w:left="420"/>
      </w:pPr>
      <w:r>
        <w:t xml:space="preserve">8. „gekuppelte Fahrzeuge”: eine Zusammenstellung von längsseits gekuppelten Fahrzeugen, von denen sich keines vor dem oder den Fahrzeugen mit Maschinenantrieb befindet, die die Zusammenstellung fortbewegen;</w:t>
      </w:r>
    </w:p>
    <w:p>
      <w:pPr>
        <w:ind w:left="420"/>
      </w:pPr>
      <w:r>
        <w:t xml:space="preserve">9. „Gelenkverband”: eine Zusammenstellung von Fahrzeugen hintereinander, die mindestens an einer Stelle durch Gelenkkupplung verbunden sind, unabhängig davon, welches Fahrzeug die Hauptantriebskraft stellt;</w:t>
      </w:r>
    </w:p>
    <w:p>
      <w:pPr>
        <w:ind w:left="420"/>
      </w:pPr>
      <w:r>
        <w:t xml:space="preserve">10. „schwimmendes Gerät”: eine schwimmende Konstruktion mit mechanischen Einrichtungen, die dazu bestimmt ist, auf Wasserstraßen oder in Häfen zur Arbeit eingesetzt zu werden, insbesondere ein Bagger, Elevator, Hebebock oder Kran;</w:t>
      </w:r>
    </w:p>
    <w:p>
      <w:pPr>
        <w:ind w:left="420"/>
      </w:pPr>
      <w:r>
        <w:t xml:space="preserve">11. „schwimmende Anlage”: eine schwimmende Einrichtung, die in der Regel nicht zur Fortbewegung bestimmt ist, insbesondere eine Badeanstalt, ein Dock, eine Landebrücke oder ein Bootshaus;</w:t>
      </w:r>
    </w:p>
    <w:p>
      <w:pPr>
        <w:ind w:left="420"/>
      </w:pPr>
      <w:r>
        <w:t xml:space="preserve">12. „Schwimmkörper”: ein Floß und andere einzeln oder in Verbindung fahrtauglich gemachte Gegenstände, soweit sie nicht ein Fahrzeug oder eine schwimmende Anlage sind;</w:t>
      </w:r>
    </w:p>
    <w:p>
      <w:pPr>
        <w:ind w:left="420"/>
      </w:pPr>
      <w:r>
        <w:t xml:space="preserve">13. „Fähre”: ein Fahrzeug, das dem Übersetzverkehr von einem Ufer zum anderen auf der Wasserstraße dient und von der zuständigen Behörde als Fähre behandelt wird;</w:t>
      </w:r>
    </w:p>
    <w:p>
      <w:pPr>
        <w:ind w:left="420"/>
      </w:pPr>
      <w:r>
        <w:t xml:space="preserve">14. „Kleinfahrzeug”: ein Fahrzeug, dessen Schiffskörper, ohne Ruder und Bugspriet, eine größte Länge von weniger als 20,00 m aufweist, einschließlich Segelsurfbrett, Amphibienfahrzeug, Luftkissenfahrzeug und Tragflügelboot, ausgenommen</w:t>
      </w:r>
    </w:p>
    <w:p>
      <w:pPr>
        <w:ind w:left="780"/>
      </w:pPr>
      <w:r>
        <w:t xml:space="preserve">a) ein Fahrzeug, das nach seiner nach § 7 der Binnenschiffsuntersuchungsordnung erteilten Fahrtauglichkeitsbescheinigung (Fahrtauglichkeitsbescheinigung) zugelassen ist, andere Fahrzeuge, die nicht Kleinfahrzeuge sind, zu schleppen, zu schieben oder längsseits gekuppelt mitzuführen,</w:t>
      </w:r>
    </w:p>
    <w:p>
      <w:pPr>
        <w:ind w:left="780"/>
      </w:pPr>
      <w:r>
        <w:t xml:space="preserve">b) ein Fahrzeug, das zur Beförderung von mehr als zwölf Fahrgästen zugelassen ist,</w:t>
      </w:r>
    </w:p>
    <w:p>
      <w:pPr>
        <w:ind w:left="780"/>
      </w:pPr>
      <w:r>
        <w:t xml:space="preserve">c) eine Fähre</w:t>
      </w:r>
    </w:p>
    <w:p>
      <w:pPr>
        <w:ind w:left="780"/>
      </w:pPr>
      <w:r>
        <w:t xml:space="preserve">d) ein Schubleichter sowie</w:t>
      </w:r>
    </w:p>
    <w:p>
      <w:pPr>
        <w:ind w:left="780"/>
      </w:pPr>
      <w:r>
        <w:t xml:space="preserve">e) ein schwimmendes Gerät;</w:t>
      </w:r>
    </w:p>
    <w:p>
      <w:pPr>
        <w:ind w:left="420"/>
      </w:pPr>
      <w:r>
        <w:t xml:space="preserve">15. „Fahrzeug unter Segel”: ein Fahrzeug, das nur unter Segel fährt; ein Fahrzeug, das unter Segel fährt und gleichzeitig eine Antriebsmaschine benutzt, gilt als Fahrzeug mit Maschinenantrieb;</w:t>
      </w:r>
    </w:p>
    <w:p>
      <w:pPr>
        <w:ind w:left="420"/>
      </w:pPr>
      <w:r>
        <w:t xml:space="preserve">16. „Fahrgastschiff”: ein Fahrzeug, das zur Beförderung von Fahrgästen gebaut und eingerichtet ist; ein Fahrgastschiff im Sinne dieser Verordnung ist auch ein Fahrgastboot;</w:t>
      </w:r>
    </w:p>
    <w:p>
      <w:pPr>
        <w:ind w:left="420"/>
      </w:pPr>
      <w:r>
        <w:t xml:space="preserve">17. „Tagesausflugschiff”: ein Fahrgastschiff ohne Kabinen für die Übernachtung von Fahrgästen;</w:t>
      </w:r>
    </w:p>
    <w:p>
      <w:pPr>
        <w:ind w:left="420"/>
      </w:pPr>
      <w:r>
        <w:t xml:space="preserve">18. „Kabinenschiff“ ein Fahrgastschiff mit Kabinen für die Übernachtung von Fahrgästen;</w:t>
      </w:r>
    </w:p>
    <w:p>
      <w:pPr>
        <w:ind w:left="420"/>
      </w:pPr>
      <w:r>
        <w:t xml:space="preserve">19. „Fahrgastboot“: ein nach Anhang II Kapitel 7 der Binnenschiffsuntersuchungsordnung zugelassenes und eingerichtetes Fahrzeug zur Beförderung von Fahrgästen;</w:t>
      </w:r>
    </w:p>
    <w:p>
      <w:pPr>
        <w:ind w:left="420"/>
      </w:pPr>
      <w:r>
        <w:t xml:space="preserve">20. „Personenbarkasse“: ein nach Anhang II Kapitel 5 der Binnenschiffsuntersuchungsordnung zugelassenes Fahrzeug zur Beförderung von Fahrgästen;</w:t>
      </w:r>
    </w:p>
    <w:p>
      <w:pPr>
        <w:ind w:left="420"/>
      </w:pPr>
      <w:r>
        <w:t xml:space="preserve">21. „Sportfahrzeug”: ein Fahrzeug, das für Sport- oder Erholungszwecke verwendet wird und kein Fahrgastschiff oder Fahrgastboot ist;</w:t>
      </w:r>
    </w:p>
    <w:p>
      <w:pPr>
        <w:ind w:left="420"/>
      </w:pPr>
      <w:r>
        <w:t xml:space="preserve">22. „Vorspann”: ein Fahrzeug mit Maschinenantrieb, das an der Spitze eines Fahrzeugs oder Verbandes Schleppunterstützung leistet;</w:t>
      </w:r>
    </w:p>
    <w:p>
      <w:pPr>
        <w:ind w:left="420"/>
      </w:pPr>
      <w:r>
        <w:t xml:space="preserve">23. „stillliegend”: ein Fahrzeug, ein Schwimmkörper oder eine schwimmende Anlage, das, der oder die unmittelbar oder mittelbar vor Anker liegt oder am Ufer festgemacht ist;</w:t>
      </w:r>
    </w:p>
    <w:p>
      <w:pPr>
        <w:ind w:left="420"/>
      </w:pPr>
      <w:r>
        <w:t xml:space="preserve">24. „fahrend“ oder „in Fahrt befindlich“: ein Fahrzeug, ein Schwimmkörper oder eine schwimmende Anlage, das, der oder die weder unmittelbar noch mittelbar ankert, unmittelbar noch mittelbar am Ufer festgemacht ist oder festgefahren ist;</w:t>
      </w:r>
    </w:p>
    <w:p>
      <w:pPr>
        <w:ind w:left="420"/>
      </w:pPr>
      <w:r>
        <w:t xml:space="preserve">25. „Ankern“: das Halten eines Fahrzeugs auf dem Wasser in Position mit Hilfe eines Gegenstandes, der an einem Seil oder einer Kette befestigt ist und durch sein Gewicht oder seine Form am Grund haftet;</w:t>
      </w:r>
    </w:p>
    <w:p>
      <w:pPr>
        <w:ind w:left="420"/>
      </w:pPr>
      <w:r>
        <w:t xml:space="preserve">26. „Länge/Breite eines Fahrzeugs, eines Verbandes“: die Länge oder Breite über alles im Sinne des Artikels 1.01 Nummer 4.17 und 4.20 ES-TRIN;</w:t>
      </w:r>
    </w:p>
    <w:p>
      <w:pPr>
        <w:ind w:left="420"/>
      </w:pPr>
      <w:r>
        <w:t xml:space="preserve">27. „Radarfahrt“: eine Fahrt bei unsichtigem Wetter mit Radar;</w:t>
      </w:r>
    </w:p>
    <w:p>
      <w:pPr>
        <w:ind w:left="420"/>
      </w:pPr>
      <w:r>
        <w:t xml:space="preserve">28. „unsichtiges Wetter“: ein Zustand, bei dem die Sicht durch Nebel, Schneefall, heftige Regengüsse oder andere ähnliche Ursachen eingeschränkt ist;</w:t>
      </w:r>
    </w:p>
    <w:p>
      <w:pPr>
        <w:ind w:left="420"/>
      </w:pPr>
      <w:r>
        <w:t xml:space="preserve">29. „Nacht“: der Zeitraum zwischen Sonnenuntergang und Sonnenaufgang;</w:t>
      </w:r>
    </w:p>
    <w:p>
      <w:pPr>
        <w:ind w:left="420"/>
      </w:pPr>
      <w:r>
        <w:t xml:space="preserve">30. „Tag“: der Zeitraum zwischen Sonnenaufgang und Sonnenuntergang;</w:t>
      </w:r>
    </w:p>
    <w:p>
      <w:pPr>
        <w:ind w:left="420"/>
      </w:pPr>
      <w:r>
        <w:t xml:space="preserve">31. „weißes Licht“, „rotes Licht“, „grünes Licht“, „gelbes Licht“ und „blaues Licht“: ein Licht, dessen Farbe den Anforderungen der Tabelle 2 der Norm DIN EN 14744:2006-01 entspricht[*];</w:t>
      </w:r>
    </w:p>
    <w:p>
      <w:pPr>
        <w:ind w:left="420"/>
      </w:pPr>
      <w:r>
        <w:t xml:space="preserve">32. „starkes Licht“, „helles Licht“ und „gewöhnliches Licht“: ein Licht, dessen Stärke den Anforderungen der Tabelle 1 der Norm DIN EN 14744:2006-01 entspricht[*];</w:t>
      </w:r>
    </w:p>
    <w:p>
      <w:pPr>
        <w:ind w:left="420"/>
      </w:pPr>
      <w:r>
        <w:t xml:space="preserve">33. „Funkellicht“: ein Licht, dessen Anzahl regelmäßiger Lichterscheinungen der Anforderung der Zeile 1 der Tabelle 3 der Norm DIN EN 14744:2006-01 entspricht[*];</w:t>
      </w:r>
    </w:p>
    <w:p>
      <w:pPr>
        <w:ind w:left="420"/>
      </w:pPr>
      <w:r>
        <w:t xml:space="preserve">34. „kurzer Ton“: ein Ton von etwa einer Sekunde Dauer;</w:t>
      </w:r>
    </w:p>
    <w:p>
      <w:pPr>
        <w:ind w:left="420"/>
      </w:pPr>
      <w:r>
        <w:t xml:space="preserve">35. „langer Ton“: ein Ton von etwa vier Sekunden Dauer, wobei die Pause zwischen zwei aufeinanderfolgenden Tönen etwa eine Sekunde beträgt;</w:t>
      </w:r>
    </w:p>
    <w:p>
      <w:pPr>
        <w:ind w:left="420"/>
      </w:pPr>
      <w:r>
        <w:t xml:space="preserve">36. „Folge sehr kurzer Töne“: eine Folge von mindestens sechs Tönen von je etwa einer viertel Sekunde Dauer, wobei die Pausen zwischen den aufeinanderfolgenden Tönen ebenfalls etwa eine viertel Sekunde betragen;</w:t>
      </w:r>
    </w:p>
    <w:p>
      <w:pPr>
        <w:ind w:left="420"/>
      </w:pPr>
      <w:r>
        <w:t xml:space="preserve">37. „Fahrwasser“: der Teil der Wasserstraße, der den örtlichen Umständen nach vom durchgehenden Schiffsverkehr benutzt wird;</w:t>
      </w:r>
    </w:p>
    <w:p>
      <w:pPr>
        <w:ind w:left="420"/>
      </w:pPr>
      <w:r>
        <w:t xml:space="preserve">38. „Fahrrinne“: der Teil des Fahrwassers, in dem für den durchgehenden Schiffsverkehr bestimmte Breiten und Tiefen vorhanden sind, deren Erhaltung im Rahmen des Möglichen und Zumutbaren angestrebt wird;</w:t>
      </w:r>
    </w:p>
    <w:p>
      <w:pPr>
        <w:ind w:left="420"/>
      </w:pPr>
      <w:r>
        <w:t xml:space="preserve">39. „rechte Seite/linke Seite“: die „rechte Seite“ oder „linke Seite“ des Fahrwassers/der Fahrrinne, bezogen auf die Richtung „Talfahrt“;</w:t>
      </w:r>
    </w:p>
    <w:p>
      <w:pPr>
        <w:ind w:left="420"/>
      </w:pPr>
      <w:r>
        <w:t xml:space="preserve">40. „zu Berg“ oder „Bergfahrt“: auf einem Fluss die Richtung zur Quelle, auf einem Schifffahrtskanal die Richtung, die im zweiten Teil dieser Verordnung für die einzelnen Binnenschifffahrtsstraßen als „Bergfahrt“ bezeichnet ist, ferner die Fahrt von der Hafeneinfahrt in den Hafen;</w:t>
      </w:r>
    </w:p>
    <w:p>
      <w:pPr>
        <w:ind w:left="420"/>
      </w:pPr>
      <w:r>
        <w:t xml:space="preserve">41. „zu Tal“ oder „Talfahrt“: die der Richtung „zu Berg“ oder der „Bergfahrt“ entgegengesetzte Richtung;</w:t>
      </w:r>
    </w:p>
    <w:p>
      <w:pPr>
        <w:ind w:left="420"/>
      </w:pPr>
      <w:r>
        <w:t xml:space="preserve">42. „Stoffnummer“: Nummer zur Kennzeichnung von Stoffen, denen noch keine UN-Nummer zugeordnet wurde oder die nicht einer Sammelbezeichnung mit UN-Nummer zugeordnet werden können, entsprechend ADN in der jeweils geltenden Fassung. Diese vierstellige Zahl beginnt mit der Ziffer 9;</w:t>
      </w:r>
    </w:p>
    <w:p>
      <w:pPr>
        <w:ind w:left="420"/>
      </w:pPr>
      <w:r>
        <w:t xml:space="preserve">43. „UN-Nummer“: vierstellige Zahl als Nummer zur Kennzeichnung von Stoffen oder Gegenständen entsprechend ADN in der jeweils geltenden Fassung;</w:t>
      </w:r>
    </w:p>
    <w:p>
      <w:pPr>
        <w:ind w:left="420"/>
      </w:pPr>
      <w:r>
        <w:t xml:space="preserve">44. „Anlage“:</w:t>
      </w:r>
    </w:p>
    <w:p>
      <w:pPr>
        <w:ind w:left="780"/>
      </w:pPr>
      <w:r>
        <w:t xml:space="preserve">a) Schifffahrtsanlage, insbesondere eine Schleuse, ein Schleusenkanal, ein Wehr oder ein Schiffshebewerk,</w:t>
      </w:r>
    </w:p>
    <w:p>
      <w:pPr>
        <w:ind w:left="780"/>
      </w:pPr>
      <w:r>
        <w:t xml:space="preserve">b) wasserbauliche Anlage, insbesondere eine Grundschwelle, eine Buhne, ein Parallelwerk, ein Deckwerk, ein Leitdamm oder eine Brücke;</w:t>
      </w:r>
    </w:p>
    <w:p>
      <w:pPr>
        <w:ind w:left="420"/>
      </w:pPr>
      <w:r>
        <w:t xml:space="preserve">45. „Kilometerangabe (km-Angabe)“: bei einer Streckenangabe schließt der Kilometerendpunkt die jeweilige Kilometerangabe ein und der Kilometeranfangspunkt die jeweilige Kilometerangabe aus;</w:t>
      </w:r>
    </w:p>
    <w:p>
      <w:pPr>
        <w:ind w:left="420"/>
      </w:pPr>
      <w:r>
        <w:t xml:space="preserve">46. „diensttuende Mindestbesatzung“: die Besatzung nach Teil 3 der Binnenschiffspersonalverordnung oder nach den §§ 19.02 bis 19.10 der Rheinschiffspersonalverordnung, die sich nicht in der Ruhezeit befindet;</w:t>
      </w:r>
    </w:p>
    <w:p>
      <w:pPr>
        <w:ind w:left="420"/>
      </w:pPr>
      <w:r>
        <w:t xml:space="preserve">47. „Inland AIS Gerät“: ein Gerät im Sinne der Durchführungsverordnung (EU) 2019/838 der Kommission vom 20. Februar 2019 über die technischen Spezifikationen für Schiffsverfolgungs- und -aufspürungssysteme und zur Aufhebung der Verordnung (EG) Nr. 415/2007 (ABl. L 138 vom 24.5.2019, S. 31), die in Teil II „Standard für Verfolgungs- und Aufspürungssysteme in der Binnenschifffahrt“ des ES-RIS wiedergegeben ist, das auf einem Fahrzeug eingebaut ist und genutzt wird;</w:t>
      </w:r>
    </w:p>
    <w:p>
      <w:pPr>
        <w:ind w:left="420"/>
      </w:pPr>
      <w:r>
        <w:t xml:space="preserve">48. „Inland AIS Gerät“: ein Gerät zur Darstellung von elektronischen Binnenschifffahrtskarten, das in den zwei Betriebsarten Informationsmodus oder Navigationsmodus betrieben werden kann;</w:t>
      </w:r>
    </w:p>
    <w:p>
      <w:pPr>
        <w:ind w:left="420"/>
      </w:pPr>
      <w:r>
        <w:t xml:space="preserve">49. „ADN“: die dem Europäischen Übereinkommen über die internationale Beförderung von gefährlichen Gütern auf Binnenwasserstraßen (ADN) vom 26. Mai 2000 in der Anlage beigefügte Verordnung (BGBl. 2007 II S. 1906, 1908 – Anlageband), die zuletzt durch Artikel 1 der Verordnung vom 17. Dezember 2010 (BGBl. 2010 II S. 1550) geändert worden ist, in der jeweils geltenden Fassung;</w:t>
      </w:r>
    </w:p>
    <w:p>
      <w:pPr>
        <w:ind w:left="420"/>
      </w:pPr>
      <w:r>
        <w:t xml:space="preserve">50. „Binnenschiffsuntersuchungsordnung": Verordnung über die Schiffssicherheit in der Binnenschifffahrt vom 21. September 2018 (BGBl. I S. 1398) in der jeweils geltenden und anzuwendenden Fassung;</w:t>
      </w:r>
    </w:p>
    <w:p>
      <w:pPr>
        <w:ind w:left="420"/>
      </w:pPr>
      <w:r>
        <w:t xml:space="preserve">51. „Binnenschiffspersonalverordnung“: Binnenschiffspersonalverordnung vom 26. November 2021 (BGBl. I S. 4982) in der jeweils geltenden und anzuwendenden Fassung;</w:t>
      </w:r>
    </w:p>
    <w:p>
      <w:pPr>
        <w:ind w:left="420"/>
      </w:pPr>
      <w:r>
        <w:t xml:space="preserve">52. „Rheinschiffspersonalverordnung“: Anlage 1 zu § 1 Absatz 2 Nummer 1 der Rheinschiffspersonaleinführungsverordnung vom 5. April 2023 (BGBl. 2023 II Nr. 105, Anlageband) in der jeweils geltenden und anzuwendenden Fassung;</w:t>
      </w:r>
    </w:p>
    <w:p>
      <w:pPr>
        <w:ind w:left="420"/>
      </w:pPr>
      <w:r>
        <w:t xml:space="preserve">53. „Sportbootführerscheinverordnung“: Sportbootführerscheinverordnung vom 3. Mai 2017 (BGBl. I S. 1016, 4043), die zuletzt durch Artikel 11 der Verordnung vom 31. Oktober 2019 (BGBl. I S. 1518) geändert worden ist, in der jeweils geltenden Fassung;</w:t>
      </w:r>
    </w:p>
    <w:p>
      <w:pPr>
        <w:ind w:left="420"/>
      </w:pPr>
      <w:r>
        <w:t xml:space="preserve">54. „Binnenschifffahrt-Sportbootvermietungsverordnung“: Binnenschifffahrt-Sportbootvermietungsverordnung vom 18. April 2000 (BGBl. I S. 572), die zuletzt durch Artikel 4 der Verordnung vom 31. Oktober 2019 (BGBl. I S. 1518) geändert worden ist, in der jeweils geltenden und anzuwendenden Fassung;</w:t>
      </w:r>
    </w:p>
    <w:p>
      <w:pPr>
        <w:ind w:left="420"/>
      </w:pPr>
      <w:r>
        <w:t xml:space="preserve">55. „Regionale Vereinbarung über den Binnenschifffahrtsfunk“: Regionale Vereinbarung vom 6. April 2000 über den Binnenschifffahrtsfunk (BGBl. 2000 II S. 1213, 1214) in der jeweils geltenden Fassung;</w:t>
      </w:r>
    </w:p>
    <w:p>
      <w:pPr>
        <w:ind w:left="420"/>
      </w:pPr>
      <w:r>
        <w:t xml:space="preserve">56. „Binnenschifffahrt-Sprechfunkverordnung“: Verordnung über den Betrieb von Sprechfunkanlagen auf Ultrakurzwellen in der Binnenschifffahrt und den Erwerb des UKW-Sprechfunkzeugnisses für den Binnenschifffahrtsfunk vom 18. Dezember 2002 (BGBl. I S. 4569; 2003 I S. 130), die zuletzt durch § 38 Absatz 6 der Verordnung vom 16. Dezember 2011 (BGBl. 2012 I S. 2) geändert worden ist, in der jeweils geltenden Fassung;</w:t>
      </w:r>
    </w:p>
    <w:p>
      <w:pPr>
        <w:ind w:left="420"/>
      </w:pPr>
      <w:r>
        <w:t xml:space="preserve">57. „ES-TRIN“: Europäischer Standard der technischen Vorschriften für Binnenschiffe in der Ausgabe 2023/01, der vom Europäischen Ausschuss für die Ausarbeitung von Standards im Bereich der Binnenschifffahrt (CESNI) angenommen wurde (Bekanntmachung des Bundesministeriums für Digitales und Verkehr vom 16. März 2023, BAnz AT 02.05.2023 B3). Bei der Anwendung des ES-TRIN ist unter Mitgliedstaat ein Mitgliedstaat der Europäischen Union oder der Zentralkommission für die Rheinschifffahrt zu verstehen.</w:t>
      </w:r>
    </w:p>
    <w:p>
      <w:pPr>
        <w:ind w:left="420"/>
      </w:pPr>
      <w:r>
        <w:t xml:space="preserve">58. „ES-RIS“: Europäischer Standard für Binnenschiffsinformationsdienste in der Ausgabe 2021/1, der vom Europäischen Ausschuss für die Ausarbeitung von Standards im Bereich der Binnenschifffahrt (CESNI) angenommen wurde (Bekanntmachung des Bundesministeriums für Verkehr und digitale Infrastruktur vom 2. Juni 2021 (BAnz AT 01.09.2021 B4)); dabei ist unter Mitgliedstaat ein Mitgliedstaat der Europäischen Union oder der Zentralkommission für die Rheinschifffahrt zu verstehen;</w:t>
      </w:r>
    </w:p>
    <w:p>
      <w:pPr>
        <w:ind w:left="420"/>
      </w:pPr>
      <w:r>
        <w:t xml:space="preserve">59. „LNG-System“: sämtliche Teile des Fahrzeugs, die Flüssigerdgas (LNG) oder Erdgas enthalten können, insbesondere Motoren, Brennstofftanks und die Schlauch- und Rohrleitungen für das Bunkern;</w:t>
      </w:r>
    </w:p>
    <w:p>
      <w:pPr>
        <w:ind w:left="420"/>
      </w:pPr>
      <w:r>
        <w:t xml:space="preserve">60. „Bunkerbereich“: der Bereich in einem Radius von 20 Metern um den Bunkerverteiler;</w:t>
      </w:r>
    </w:p>
    <w:p>
      <w:pPr>
        <w:ind w:left="420"/>
      </w:pPr>
      <w:r>
        <w:t xml:space="preserve">61. „Flüssigerdgas (LNG)“: Erdgas, das durch Abkühlung auf eine Temperatur von –161 °C verflüssigt wurde.</w:t>
      </w:r>
    </w:p>
    <w:p>
      <w:r>
        <w:t xml:space="preserve">* Die Norm ist bei der Beuth-Verlag GmbH erschienen und beim Deutschen Patent- und Markenamt in München archivmäßig gesichert.</w:t>
      </w:r>
    </w:p>
    <w:p>
      <w:r>
        <w:rPr>
          <w:color w:val="555555"/>
          <w:sz w:val="17"/>
        </w:rPr>
        <w:t xml:space="preserve">Zitiervorschlag: § 1.01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https://recht.nulegal.eu/gesetze/BinSchStrO%202012/1.01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