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BinSchStrEV 2012 — Bewehrung der Vorschriften über Alkohol und Drogenkonsum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15.10.2021 (konsolidierte Textfassung, kein amtliches Inkrafttretensdatum)</w:t>
      </w:r>
    </w:p>
    <w:p>
      <w:r>
        <w:t xml:space="preserve">Ordnungswidrig im Sinne des § 7 Absatz 1 des Binnenschifffahrtsaufgabengesetzes handelt, wer gegen eine Vorschrift der Binnenschifffahrtsstraßen-Ordnung verstößt, indem er vorsätzlich oder fahrlässig</w:t>
      </w:r>
    </w:p>
    <w:p>
      <w:pPr>
        <w:ind w:left="420"/>
      </w:pPr>
      <w:r>
        <w:t xml:space="preserve">1. entgegen § 1.02 Nummer 7 Satz 2 ein Fahrzeug führt,</w:t>
      </w:r>
    </w:p>
    <w:p>
      <w:pPr>
        <w:ind w:left="420"/>
      </w:pPr>
      <w:r>
        <w:t xml:space="preserve">2. entgegen § 1.03 Nummer 4 Satz 3 den Kurs oder die Geschwindigkeit bestimmt oder eine dort genannte Tätigkeit ausübt oder</w:t>
      </w:r>
    </w:p>
    <w:p>
      <w:pPr>
        <w:ind w:left="420"/>
      </w:pPr>
      <w:r>
        <w:t xml:space="preserve">3. entgegen § 1.03 Nummer 5 Satz 1 nicht sicherstellt, dass keine andere Person selbständig den Kurs oder die Geschwindigkeit bestimmt oder eine dort genannte Tätigkeit ausübt.</w:t>
      </w:r>
    </w:p>
    <w:p>
      <w:r>
        <w:rPr>
          <w:color w:val="555555"/>
          <w:sz w:val="17"/>
        </w:rPr>
        <w:t xml:space="preserve">Zitiervorschlag: § 6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