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BinSchStrEV 2012 — Aufhebung binnenschifffahrtsrechtlicher Vorschriften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Ablauf des 31. Januar 2012 werden aufgehoben:</w:t>
      </w:r>
    </w:p>
    <w:p>
      <w:pPr>
        <w:ind w:left="420"/>
      </w:pPr>
      <w:r>
        <w:t xml:space="preserve">1. die Verordnung zur Einführung der Binnenschifffahrtsstraßen-Ordnung vom 8. Oktober 1998 (BGBl. I S. 3148, 3317; 1999 I S. 159), die zuletzt durch Artikel 3 § 3 der Verordnung vom 19. Dezember 2008 (BGBl. I S. 2868; 2010 I S. 380) geändert worden ist,</w:t>
      </w:r>
    </w:p>
    <w:p>
      <w:pPr>
        <w:ind w:left="420"/>
      </w:pPr>
      <w:r>
        <w:t xml:space="preserve">2. die Vierundsechzigste Verordnung zur vorübergehenden Abweichung von der Binnenschifffahrtsstraßen-Ordnung vom 28. September 2007 (VkBl. 2007 S. 615), die durch Artikel 1 der Verordnung vom 2. September 2010 (VkBl. 2010 S. 512; 2011 S. 141) geändert worden ist,</w:t>
      </w:r>
    </w:p>
    <w:p>
      <w:pPr>
        <w:ind w:left="420"/>
      </w:pPr>
      <w:r>
        <w:t xml:space="preserve">3. die Fünfundsechzigste Verordnung zur vorübergehenden Abweichung von der Binnenschifffahrtsstraßen-Ordnung vom 4. Oktober 2007 (VkBl. 2007 S. 681), die durch Artikel 2 der Verordnung vom 2. September 2010 (VkBl. 2010 S. 512; 2011 S. 141) geändert worden ist,</w:t>
      </w:r>
    </w:p>
    <w:p>
      <w:pPr>
        <w:ind w:left="420"/>
      </w:pPr>
      <w:r>
        <w:t xml:space="preserve">4. die Sechsundsechzigste Verordnung zur vorübergehenden Abweichung von der Binnenschifffahrtsstraßen-Ordnung vom 12. November 2007 (VkBl. 2007 S. 707), die durch Artikel 3 der Verordnung vom 2. September 2010 (VkBl. 2010 S. 512; 2011 S. 141) geändert worden ist,</w:t>
      </w:r>
    </w:p>
    <w:p>
      <w:pPr>
        <w:ind w:left="420"/>
      </w:pPr>
      <w:r>
        <w:t xml:space="preserve">5. die Siebenundsechzigste Verordnung zur vorübergehenden Abweichung von der Binnenschifffahrtsstraßen-Ordnung vom 20. Dezember 2007 (VkBl. 2008 S. 41), die durch Artikel 4 der Verordnung vom 2. September 2010 (VkBl. 2010 S. 512; 2011 S. 141) geändert worden ist,</w:t>
      </w:r>
    </w:p>
    <w:p>
      <w:pPr>
        <w:ind w:left="420"/>
      </w:pPr>
      <w:r>
        <w:t xml:space="preserve">6. die Achtundsechzigste Verordnung zur vorübergehenden Abweichung von der Binnenschifffahrtsstraßen-Ordnung vom 20. März 2008 (VkBl. 2008 S. 170), die durch Artikel 1 der Verordnung vom 18. Januar 2011 (VkBl. 2011 S. 140) geändert worden ist,</w:t>
      </w:r>
    </w:p>
    <w:p>
      <w:pPr>
        <w:ind w:left="420"/>
      </w:pPr>
      <w:r>
        <w:t xml:space="preserve">7. die Neunundsechzigste Verordnung zur vorübergehenden Abweichung von der Binnenschifffahrtsstraßen-Ordnung vom 25. März 2008 (VkBl. 2008 S. 177, 420), die durch Artikel 2 der Verordnung vom 18. Januar 2011 (VkBl. 2011 S. 140) geändert worden ist,</w:t>
      </w:r>
    </w:p>
    <w:p>
      <w:pPr>
        <w:ind w:left="420"/>
      </w:pPr>
      <w:r>
        <w:t xml:space="preserve">8. die Siebzigste Verordnung zur vorübergehenden Abweichung von der Binnenschifffahrtsstraßen-Ordnung vom 26. März 2008 (VkBl. 2008 S. 183), die durch Artikel 3 der Verordnung vom 18. Januar 2011 (VkBl. 2011 S. 140) geändert worden ist,</w:t>
      </w:r>
    </w:p>
    <w:p>
      <w:pPr>
        <w:ind w:left="420"/>
      </w:pPr>
      <w:r>
        <w:t xml:space="preserve">9. die Einundsiebzigste Verordnung zur vorübergehenden Abweichung von der Binnenschifffahrtsstraßen-Ordnung vom 10. Juni 2008 (VkBl. 2008 S. 361), die durch Artikel 4 der Verordnung vom 18. Januar 2011 (VkBl. 2011 S. 140) geändert worden ist,</w:t>
      </w:r>
    </w:p>
    <w:p>
      <w:pPr>
        <w:ind w:left="420"/>
      </w:pPr>
      <w:r>
        <w:t xml:space="preserve">10. die Zweiundsiebzigste Verordnung zur vorübergehenden Abweichung von der Binnenschifffahrtsstraßen-Ordnung vom 16. Juni 2008 (VkBl. 2008 S. 421), die durch Artikel 1 der Verordnung vom 15. Juni 2011 (VkBl. 2011 S. 490) geändert worden ist,</w:t>
      </w:r>
    </w:p>
    <w:p>
      <w:pPr>
        <w:ind w:left="420"/>
      </w:pPr>
      <w:r>
        <w:t xml:space="preserve">11. die Dreiundsiebzigste Verordnung zur vorübergehenden Abweichung von der Binnenschifffahrtsstraßen-Ordnung vom 18. August 2008 (VkBl. 2008 S. 488), die durch Artikel 2 der Verordnung vom 15. Juni 2011 (VkBl. 2011 S. 490) geändert worden ist,</w:t>
      </w:r>
    </w:p>
    <w:p>
      <w:pPr>
        <w:ind w:left="420"/>
      </w:pPr>
      <w:r>
        <w:t xml:space="preserve">12. die Vierundsiebzigste Verordnung zur vorübergehenden Abweichung von der Binnenschifffahrtsstraßen-Ordnung vom 20. August 2008 (VkBl. 2008 S. 490), die durch Artikel 3 der Verordnung vom 15. Juni 2011 (VkBl. 2011 S. 490) geändert worden ist,</w:t>
      </w:r>
    </w:p>
    <w:p>
      <w:pPr>
        <w:ind w:left="420"/>
      </w:pPr>
      <w:r>
        <w:t xml:space="preserve">13. die Fünfundsiebzigste Verordnung zur vorübergehenden Abweichung von der Binnenschifffahrtsstraßen-Ordnung vom 12. Februar 2009 (VkBl. 2009 S. 143),</w:t>
      </w:r>
    </w:p>
    <w:p>
      <w:pPr>
        <w:ind w:left="420"/>
      </w:pPr>
      <w:r>
        <w:t xml:space="preserve">14. die Sechsundsiebzigste Verordnung zur vorübergehenden Abweichung von der Binnenschifffahrtsstraßen-Ordnung vom 19. März 2009 (VkBl. 2009 S. 241),</w:t>
      </w:r>
    </w:p>
    <w:p>
      <w:pPr>
        <w:ind w:left="420"/>
      </w:pPr>
      <w:r>
        <w:t xml:space="preserve">15. die Siebenundsiebzigste Verordnung zur vorübergehenden Abweichung von der Binnenschifffahrtsstraßen-Ordnung vom 14. Juli 2009 (VkBl. 2009 S. 468),</w:t>
      </w:r>
    </w:p>
    <w:p>
      <w:pPr>
        <w:ind w:left="420"/>
      </w:pPr>
      <w:r>
        <w:t xml:space="preserve">16. die Achtundsiebzigste Verordnung zur vorübergehenden Abweichung von der Binnenschifffahrtsstraßen-Ordnung vom 12. März 2010 (VkBl. 2010 S. 137),</w:t>
      </w:r>
    </w:p>
    <w:p>
      <w:pPr>
        <w:ind w:left="420"/>
      </w:pPr>
      <w:r>
        <w:t xml:space="preserve">17. die Neunundsiebzigste Verordnung zur vorübergehenden Abweichung von der Binnenschifffahrtsstraßen-Ordnung vom 22. Oktober 2010 (VkBl. 2010 S. 545),</w:t>
      </w:r>
    </w:p>
    <w:p>
      <w:pPr>
        <w:ind w:left="420"/>
      </w:pPr>
      <w:r>
        <w:t xml:space="preserve">18. die Achtzigste Verordnung zur vorübergehenden Abweichung von der Binnenschifffahrtsstraßen-Ordnung vom 21. Januar 2011 (VkBl. 2011 S. 142) und</w:t>
      </w:r>
    </w:p>
    <w:p>
      <w:pPr>
        <w:ind w:left="420"/>
      </w:pPr>
      <w:r>
        <w:t xml:space="preserve">19. die Einundachtzigste Verordnung zur vorübergehenden Abweichung von der Binnenschifffahrtsstraßen-Ordnung vom 3. Mai 2011 (VkBl. 2011 S. 418, 491).</w:t>
      </w:r>
    </w:p>
    <w:p>
      <w:r>
        <w:rPr>
          <w:color w:val="555555"/>
          <w:sz w:val="17"/>
        </w:rPr>
        <w:t xml:space="preserve">Zitiervorschlag: § 37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