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BinSchStrEV 2012 — Bewehrung der Vorschriften zum Umweltschutz oder über das Bunkern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12.10.2024 (konsolidierte Textfassung, kein amtliches Inkrafttretensdatum)</w:t>
      </w:r>
    </w:p>
    <w:p>
      <w:r>
        <w:t xml:space="preserve">(1) 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8.15 Nummer 7 oder § 28.04 Nummer 10 ein dort genanntes Gebot oder Verbot nicht einhält oder nicht sicherstellt, dass dieses eingehalten wird,</w:t>
      </w:r>
    </w:p>
    <w:p>
      <w:pPr>
        <w:ind w:left="420"/>
      </w:pPr>
      <w:r>
        <w:t xml:space="preserve">2. entgegen § 29.02 Satz 2 nicht sicherstellt, dass kein Brenn- oder Schmierstoff in die Wasserstraße gelangt,</w:t>
      </w:r>
    </w:p>
    <w:p>
      <w:pPr>
        <w:ind w:left="420"/>
      </w:pPr>
      <w:r>
        <w:t xml:space="preserve">3. entgegen § 29.03 Nummer 1 Buchstabe a nicht dafür sorgt, dass die zu bunkernde Menge innerhalb des ablesbaren Bereichs der Peileinrichtung liegt,</w:t>
      </w:r>
    </w:p>
    <w:p>
      <w:pPr>
        <w:ind w:left="420"/>
      </w:pPr>
      <w:r>
        <w:t xml:space="preserve">4. entgegen § 29.03 Nummer 1 Buchstabe b nicht dafür sorgt, dass die Absperrventile geschlossen sind,</w:t>
      </w:r>
    </w:p>
    <w:p>
      <w:pPr>
        <w:ind w:left="420"/>
      </w:pPr>
      <w:r>
        <w:t xml:space="preserve">5. entgegen § 29.03 Nummer 1 Buchstabe c nicht dafür sorgt, dass der Bunkervorgang überwacht wird,</w:t>
      </w:r>
    </w:p>
    <w:p>
      <w:pPr>
        <w:ind w:left="420"/>
      </w:pPr>
      <w:r>
        <w:t xml:space="preserve">6. entgegen § 29.03 Nummer 1 Buchstabe d nicht dafür sorgt, dass eine dort genannte Einrichtung genutzt wird,</w:t>
      </w:r>
    </w:p>
    <w:p>
      <w:pPr>
        <w:ind w:left="420"/>
      </w:pPr>
      <w:r>
        <w:t xml:space="preserve">7. entgegen § 29.03 Nummer 2 nicht dafür sorgt, dass die für den Bunkervorgang verantwortlichen Personen die dort genannten Festlegungen treffen, oder</w:t>
      </w:r>
    </w:p>
    <w:p>
      <w:pPr>
        <w:ind w:left="420"/>
      </w:pPr>
      <w:r>
        <w:t xml:space="preserve">8. entgegen § 29.03 Nummer 3 mit dem Bunkervorgang beginnt.</w:t>
      </w:r>
    </w:p>
    <w:p>
      <w:r>
        <w:t xml:space="preserve">(2) Ordnungswidrig im Sinne des § 7 Absatz 1 des Binnenschifffahrtsaufgabengesetzes handelt, wer gegen eine Vorschrift der Binnenschifffahrtsstraßen-Ordnung verstößt, indem er vorsätzlich oder fahrlässig entgegen § 29.04 Nummer 11 ein dort genanntes Gebot nicht einhält oder nicht sicherstellt, dass dieses eingehalten wird.</w:t>
      </w:r>
    </w:p>
    <w:p>
      <w:r>
        <w:rPr>
          <w:color w:val="555555"/>
          <w:sz w:val="17"/>
        </w:rPr>
        <w:t xml:space="preserve">Zitiervorschlag: § 36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