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BinSchStrEV 2012 — Bewehrung der Vorschriften über den Schutz der Anlagen oder Kanäle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12.29 Nummer 2 Buchstabe a Doppelbuchstabe cc nicht sicherstellt, dass der Bug eines von ihm geführten einzeln fahrenden Fahrzeugs mit Pontonform der Form nach § 12.26 Satz 1 entspricht,</w:t>
      </w:r>
    </w:p>
    <w:p>
      <w:pPr>
        <w:ind w:left="420"/>
      </w:pPr>
      <w:r>
        <w:t xml:space="preserve">2. entgegen § 15.29 Nummer 2 Buchstabe a Doppelbuchstabe ee nicht sicherstellt, dass der Bug eines von ihm geführten einzeln fahrenden oder schleppenden Fahrzeugs mit Pontonform der Form nach § 15.26 Nummer 1 Satz 1 entspricht,</w:t>
      </w:r>
    </w:p>
    <w:p>
      <w:pPr>
        <w:ind w:left="420"/>
      </w:pPr>
      <w:r>
        <w:t xml:space="preserve">3. entgegen § 21.29 Nummer 2 Buchstabe a Doppelbuchstabe ee nicht sicherstellt, dass der Bug eines von ihm geführten einzeln fahrenden oder schleppenden Fahrzeugs mit Pontonform der Form nach § 21.26 Nummer 1 Satz 1 entspricht, oder</w:t>
      </w:r>
    </w:p>
    <w:p>
      <w:pPr>
        <w:ind w:left="420"/>
      </w:pPr>
      <w:r>
        <w:t xml:space="preserve">4. entgegen § 22.29 Nummer 2 Buchstabe a Doppelbuchstabe dd nicht sicherstellt, dass der Bug eines von ihm geführten einzeln fahrenden oder schleppenden Fahrzeugs mit Pontonform der Form nach § 22.26 Nummer 1 Satz 1 entspricht.</w:t>
      </w:r>
    </w:p>
    <w:p>
      <w:r>
        <w:rPr>
          <w:color w:val="555555"/>
          <w:sz w:val="17"/>
        </w:rPr>
        <w:t xml:space="preserve">Zitiervorschlag: § 33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