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BinSchStrEV 2012 — Bewehrung der Vorschriften über besondere Verkehrsregelungen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11.29 Nummer 2 Buchstabe c, § 12.29 Nummer 2 Buchstabe c oder § 21.29 Nummer 2 Buchstabe d eine dort genannte Regelung nicht beachtet oder nicht sicherstellt, dass diese beachtet wird,</w:t>
      </w:r>
    </w:p>
    <w:p>
      <w:pPr>
        <w:ind w:left="420"/>
      </w:pPr>
      <w:r>
        <w:t xml:space="preserve">2. entgegen § 22.29 Nummer 2 Buchstabe d die Verkehrsregelungen nach § 22.22 Nummer 2 Satz 3, 4, 5 oder 6, jeweils in Verbindung mit Satz 7, nicht beachtet oder nicht sicherstellt, dass diese beachtet werden, oder</w:t>
      </w:r>
    </w:p>
    <w:p>
      <w:pPr>
        <w:ind w:left="420"/>
      </w:pPr>
      <w:r>
        <w:t xml:space="preserve">3. entgegen § 26.29 Nummer 2 Buchstabe c die Verkehrsregelungen nach § 26.22 Nummer 1 oder 2 nicht beachtet oder nicht sicherstellt, dass diese beachtet werden.</w:t>
      </w:r>
    </w:p>
    <w:p>
      <w:r>
        <w:rPr>
          <w:color w:val="555555"/>
          <w:sz w:val="17"/>
        </w:rPr>
        <w:t xml:space="preserve">Zitiervorschlag: § 32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