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BinSchStrEV 2012 — Rechtsverordnung mit vorübergehender Geltungsdauer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t xml:space="preserve">Der Generaldirektion Wasserstraßen und Schifffahrt wird die Befugnis nach § 3 Absatz 1, auch in Verbindung mit Absatz 2 und 6, und § 3 Absatz 4, auch in Verbindung mit Absatz 6, des Binnenschifffahrtsaufgabengesetzes übertragen, durch Rechtsverordnung</w:t>
      </w:r>
    </w:p>
    <w:p>
      <w:pPr>
        <w:ind w:left="420"/>
      </w:pPr>
      <w:r>
        <w:t xml:space="preserve">1. in dringenden Fällen oder</w:t>
      </w:r>
    </w:p>
    <w:p>
      <w:pPr>
        <w:ind w:left="420"/>
      </w:pPr>
      <w:r>
        <w:t xml:space="preserve">2. zu Versuchszwecken, durch die die Sicherheit und Leichtigkeit des Schiffsverkehrs nicht beeinträchtigt werden,</w:t>
      </w:r>
    </w:p>
    <w:p>
      <w:r>
        <w:t xml:space="preserve">bis zur Dauer von drei Jahren von der Binnenschifffahrtsstraßen-Ordnung abweichende schifffahrtspolizeiliche Maßnahmen zu treffen.</w:t>
      </w:r>
    </w:p>
    <w:p>
      <w:r>
        <w:rPr>
          <w:color w:val="555555"/>
          <w:sz w:val="17"/>
        </w:rPr>
        <w:t xml:space="preserve">Zitiervorschlag: § 3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