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BinSchStrEV 2012 — Bewehrung der Vorschriften über die Nachtschifffahrt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7 Absatz 1 des Binnenschifffahrtsaufgabengesetzes handelt, wer gegen eine Vorschrift der Binnenschifffahrtsstraßen-Ordnung verstößt, indem er vorsätzlich oder fahrlässig als Schiffsführer oder nach § 1.03 Nummer 3 für Kurs und Geschwindigkeit verantwortliche Person</w:t>
      </w:r>
    </w:p>
    <w:p>
      <w:pPr>
        <w:ind w:left="420"/>
      </w:pPr>
      <w:r>
        <w:t xml:space="preserve">1. entgegen § 13.29 Nummer 1 Buchstabe b Doppelbuchstabe bb die Vorschriften über die Nachtschifffahrt nach § 13.13 Nummer 1 oder 2 nicht einhält oder nicht sicherstellt, dass diese eingehalten werden, oder</w:t>
      </w:r>
    </w:p>
    <w:p>
      <w:pPr>
        <w:ind w:left="420"/>
      </w:pPr>
      <w:r>
        <w:t xml:space="preserve">2. entgegen § 26.29 Nummer 1 Buchstabe b Doppelbuchstabe cc die Vorschriften über die Nachtschifffahrt nach § 26.13 Nummer 2, 3 Halbsatz 1 oder Nummer 4 nicht einhält oder nicht sicherstellt, dass diese eingehalten werden.</w:t>
      </w:r>
    </w:p>
    <w:p>
      <w:r>
        <w:t xml:space="preserve">(2) Ordnungswidrig im Sinne des § 7 Absatz 1 des Binnenschifffahrtsaufgabengesetzes handelt, wer gegen eine Vorschrift der Binnenschifffahrtsstraßen-Ordnung verstößt, indem er vorsätzlich oder fahrlässig als Schiffsführer entgegen § 26.29 Nummer 2 Buchstabe b Doppelbuchstabe cc die Vorschriften über die Nachtschifffahrt nach § 26.13 Nummer 5 Satz 1 Buchstabe a oder c, jeweils auch in Verbindung mit Satz 2, nicht einhält oder nicht sicherstellt, dass diese eingehalten werden.</w:t>
      </w:r>
    </w:p>
    <w:p>
      <w:r>
        <w:t xml:space="preserve">(3) Ordnungswidrig im Sinne des § 7 Absatz 1 des Binnenschifffahrtsaufgabengesetzes handelt, wer gegen eine Vorschrift der Binnenschifffahrtsstraßen-Ordnung verstößt, indem er vorsätzlich oder fahrlässig als Eigentümer oder Ausrüster entgegen § 26.29 Nummer 6 Buchstabe b die Nachtschifffahrt eines Fahrzeugs oder Verbandes anordnet oder zulässt, obwohl es oder er nicht mit einem Radargerät und einem Gerät zur Anzeige der Wendegeschwindigkeit nach § 26.13 Nummer 5 Satz 1 Buchstabe a, auch in Verbindung mit Satz 2, oder mit Scheinwerfern nach § 26.13 Nummer 5 Satz 1 Buchstabe c, auch in Verbindung mit Satz 2, ausgerüstet ist.</w:t>
      </w:r>
    </w:p>
    <w:p>
      <w:r>
        <w:rPr>
          <w:color w:val="555555"/>
          <w:sz w:val="17"/>
        </w:rPr>
        <w:t xml:space="preserve">Zitiervorschlag: § 28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