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BinSchStrEV 2012 — Bewehrung der Vorschriften über die Schifffahrt bei Eis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 oder nach § 1.03 Nummer 3 für Kurs und Geschwindigkeit verantwortliche Person</w:t>
      </w:r>
    </w:p>
    <w:p>
      <w:pPr>
        <w:ind w:left="420"/>
      </w:pPr>
      <w:r>
        <w:t xml:space="preserve">1. entgegen § 11.29 Nummer 1 Buchstabe c eine nach § 11.12 erteilte Weisung, rechtzeitig einen Schutzhafen oder eine geeignete Liegestelle aufzusuchen, nicht einhält oder nicht sicherstellt, dass diese eingehalten wird,</w:t>
      </w:r>
    </w:p>
    <w:p>
      <w:pPr>
        <w:ind w:left="420"/>
      </w:pPr>
      <w:r>
        <w:t xml:space="preserve">2. entgegen § 12.29 Nummer 1 Buchstabe c eine nach § 12.12 erteilte Weisung, rechtzeitig einen Schutzhafen oder eine geeignete Liegestelle aufzusuchen, nicht einhält oder nicht sicherstellt, dass diese eingehalten wird,</w:t>
      </w:r>
    </w:p>
    <w:p>
      <w:pPr>
        <w:ind w:left="420"/>
      </w:pPr>
      <w:r>
        <w:t xml:space="preserve">3. entgegen § 16.29 Nummer 1 Buchstabe b Doppelbuchstabe dd die Vorschriften über das Verhalten bei Eis nach § 16.12 nicht einhält oder nicht sicherstellt, dass diese eingehalten werden, oder</w:t>
      </w:r>
    </w:p>
    <w:p>
      <w:pPr>
        <w:ind w:left="420"/>
      </w:pPr>
      <w:r>
        <w:t xml:space="preserve">4. entgegen § 26.29 Nummer 1 Buchstabe c ohne Freigabe nach § 26.12 Satz 3 die Schifffahrt wieder aufnimmt oder aufnehmen lässt.</w:t>
      </w:r>
    </w:p>
    <w:p>
      <w:r>
        <w:rPr>
          <w:color w:val="555555"/>
          <w:sz w:val="17"/>
        </w:rPr>
        <w:t xml:space="preserve">Zitiervorschlag: § 27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