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BinSchStrEV 2012 — Bewehrung der Vorschriften über das Verhalten von Fähren oder gegenüber Fähren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7 Absatz 1 des Binnenschifffahrtsaufgabengesetzes handelt, wer gegen eine Vorschrift der Binnenschifffahrtsstraßen-Ordnung verstößt, indem er vorsätzlich oder fahrlässig als Schiffsführer oder nach § 1.03 Nummer 3 für Kurs und Geschwindigkeit verantwortliche Person</w:t>
      </w:r>
    </w:p>
    <w:p>
      <w:pPr>
        <w:ind w:left="420"/>
      </w:pPr>
      <w:r>
        <w:t xml:space="preserve">1. entgegen § 6.35 Nummer 1 die in § 6.23 vorgesehenen oder auf Grund dieser Vorschrift angeordneten Gebote über das Verhalten von Fähren im Verkehr nicht einhält oder nicht sicherstellt, dass diese eingehalten werden,</w:t>
      </w:r>
    </w:p>
    <w:p>
      <w:pPr>
        <w:ind w:left="420"/>
      </w:pPr>
      <w:r>
        <w:t xml:space="preserve">2. entgegen § 17.29 Nummer 2 Buchstabe b Doppelbuchstabe bb die Vorschriften über das Verhalten gegenüber einer Seilfähre nach § 17.22 Nummer 1 oder 2, auch in Verbindung mit Nummer 3, nicht einhält oder nicht sicherstellt, dass diese eingehalten werden, oder</w:t>
      </w:r>
    </w:p>
    <w:p>
      <w:pPr>
        <w:ind w:left="420"/>
      </w:pPr>
      <w:r>
        <w:t xml:space="preserve">3. entgegen § 25.29 Nummer 2 Buchstabe b Doppelbuchstabe bb die Vorschriften über das Verhalten gegenüber einer Seilfähre nach § 25.22 Nummer 1 oder 2, auch in Verbindung mit Nummer 3, nicht einhält oder nicht sicherstellt, dass diese eingehalten werden.</w:t>
      </w:r>
    </w:p>
    <w:p>
      <w:r>
        <w:rPr>
          <w:color w:val="555555"/>
          <w:sz w:val="17"/>
        </w:rPr>
        <w:t xml:space="preserve">Zitiervorschlag: § 19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