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BinSchStrEV 2012 — Bewehrung der Vorschriften über das Verhalten oder die Zeichengebung beim Überholen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 oder nach § 1.03 Nummer 3 für Kurs und Geschwindigkeit verantwortliche Person</w:t>
      </w:r>
    </w:p>
    <w:p>
      <w:pPr>
        <w:ind w:left="420"/>
      </w:pPr>
      <w:r>
        <w:t xml:space="preserve">1. entgegen § 6.35 Nummer 1 die in § 6.03 Nummer 1 oder 3, jeweils auch in Verbindung mit Nummer 2, §§ 6.09, 6.10 Nummer 2 bis 5 oder § 6.11 Nummer 1 oder 2 Halbsatz 1 vorgesehenen oder auf Grund dieser Vorschriften angeordneten Gebote oder Verbote über das Verhalten oder die Zeichengebung beim Überholen nicht einhält oder nicht sicherstellt, dass diese eingehalten werden,</w:t>
      </w:r>
    </w:p>
    <w:p>
      <w:pPr>
        <w:ind w:left="420"/>
      </w:pPr>
      <w:r>
        <w:t xml:space="preserve">2. entgegen § 12.29 Nummer 1 Buchstabe b Doppelbuchstabe bb das Verbot zu überholen nach § 12.07 Satz 1 nicht einhält oder nicht sicherstellt, dass dieses eingehalten wird,</w:t>
      </w:r>
    </w:p>
    <w:p>
      <w:pPr>
        <w:ind w:left="420"/>
      </w:pPr>
      <w:r>
        <w:t xml:space="preserve">3. entgegen § 15.29 Nummer 1 Buchstabe b Doppelbuchstabe bb das Verbot zu überholen nach § 15.07 Nummer 1, auch in Verbindung mit Nummer 3 oder 4, nicht einhält oder nicht sicherstellt, dass dieses eingehalten wird,</w:t>
      </w:r>
    </w:p>
    <w:p>
      <w:pPr>
        <w:ind w:left="420"/>
      </w:pPr>
      <w:r>
        <w:t xml:space="preserve">4. entgegen § 16.29 Nummer 1 Buchstabe b Doppelbuchstabe bb das Verbot zu überholen nach § 16.07 Nummer 1, auch in Verbindung mit Nummer 2, nicht einhält oder nicht sicherstellt, dass dieses eingehalten wird,</w:t>
      </w:r>
    </w:p>
    <w:p>
      <w:pPr>
        <w:ind w:left="420"/>
      </w:pPr>
      <w:r>
        <w:t xml:space="preserve">5. entgegen § 19.29 Nummer 1 Buchstabe b Doppelbuchstabe aa das Verbot zu überholen nach § 19.07 Nummer 1 nicht einhält oder nicht sicherstellt, dass dieses eingehalten wird,</w:t>
      </w:r>
    </w:p>
    <w:p>
      <w:pPr>
        <w:ind w:left="420"/>
      </w:pPr>
      <w:r>
        <w:t xml:space="preserve">6. entgegen § 21.29 Nummer 1 Buchstabe b Doppelbuchstabe bb das Verbot zu überholen nach § 21.07 Nummer 1, auch in Verbindung mit Nummer 2 oder 3 Satz 1, nicht einhält oder nicht sicherstellt, dass dieses eingehalten wird,</w:t>
      </w:r>
    </w:p>
    <w:p>
      <w:pPr>
        <w:ind w:left="420"/>
      </w:pPr>
      <w:r>
        <w:t xml:space="preserve">7. entgegen § 22.29 Nummer 1 Buchstabe b Doppelbuchstabe bb das Verbot zu überholen nach § 22.07 Nummer 1 oder 2, auch in Verbindung mit Nummer 3 Buchstabe a, nicht einhält oder nicht sicherstellt, dass dieses eingehalten wird, oder</w:t>
      </w:r>
    </w:p>
    <w:p>
      <w:pPr>
        <w:ind w:left="420"/>
      </w:pPr>
      <w:r>
        <w:t xml:space="preserve">8. entgegen § 23.29 Nummer 1 Buchstabe b Doppelbuchstabe aa das Verbot zu überholen nach § 23.07 Nummer 1, auch in Verbindung mit Nummer 2 Buchstabe a oder b, nicht einhält oder nicht sicherstellt, dass dieses eingehalten wird.</w:t>
      </w:r>
    </w:p>
    <w:p>
      <w:r>
        <w:rPr>
          <w:color w:val="555555"/>
          <w:sz w:val="17"/>
        </w:rPr>
        <w:t xml:space="preserve">Zitiervorschlag: § 17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