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BinSchStrEV 2012 — Anwendungsbereich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(1) Die in der Anlage enthaltene Binnenschifffahrtsstraßen-Ordnung gilt auf den in Anhang I der Binnenschiffsuntersuchungsordnung vom 21. September 2018 (BGBl. I S. 1398) in der jeweils geltenden und anzuwendenden Fassung bezeichneten Wasserstraßen des Bundes mit Ausnahme von Rhein, Mosel, Elbe im Hamburger Hafen, Seeschifffahrtsstraßen sowie mit Ausnahme von Eder- und Diemeltalsperre.</w:t>
      </w:r>
    </w:p>
    <w:p>
      <w:r>
        <w:t xml:space="preserve">(2) § 1.07 Nummer 1 bis 3, Nummer 4 Satz 1 bis 5 und Nummer 5, § 1.10 Nummer 1 Buchstabe a Doppelbuchstabe aa und bb, Buchstabe b Doppelbuchstabe aa bis ee, gg und hh, Buchstabe d und Buchstabe f Doppelbuchstabe bb und cc, Nummer 2 bis 6, § 1.12 Nummer 3 Satz 1, Nummer 4, §§ 1.14, 1.16, 2.01, 2.03, 4.05 Nummer 1 bis 3, § 4.06 Nummer 1 Satz 1, § 4.07 Nummer 1, 2 und 4 bis 8, § 6.32 Nummer 1 und § 28.01 – soweit die Regelungen zum Ölkontrollbuch und zur Sammlung und Abgabe von Schiffsabfällen betroffen sind – gelten auch für die Fahrt eines Fahrzeugs, das kein Seeschiff ist, auf Wasserstraßen der Zonen 1 und 2 nach Anhang I der Binnenschiffsuntersuchungsordnung.</w:t>
      </w:r>
    </w:p>
    <w:p>
      <w:r>
        <w:rPr>
          <w:color w:val="555555"/>
          <w:sz w:val="17"/>
        </w:rPr>
        <w:t xml:space="preserve">Zitiervorschlag: § 1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