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BinSchSprFunkV 2003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Verkehr, Bau- und Wohnungswesen verordnet auf Grund</w:t>
      </w:r>
    </w:p>
    <w:p>
      <w:pPr>
        <w:ind w:left="420"/>
      </w:pPr>
      <w:r>
        <w:t xml:space="preserve">- des § 3 Abs. 1 Nr. 4 und 6 und Abs. 4 auch in Verbindung mit Abs. 6 des Binnenschifffahrtsaufgabengesetzes in der Fassung der Bekanntmachung vom 5. Juli 2001 (BGBl. I S. 2026),</w:t>
      </w:r>
    </w:p>
    <w:p>
      <w:pPr>
        <w:ind w:left="420"/>
      </w:pPr>
      <w:r>
        <w:t xml:space="preserve">- des § 4 Abs. 2 des Binnenschifffahrtsaufgabengesetzes in Verbindung mit dem 2. Abschnitt des Verwaltungskostengesetzes vom 23. Juni 1970 (BGBl. I S. 821) im Einvernehmen mit dem Bundesministerium der Finanzen:</w:t>
      </w:r>
    </w:p>
    <w:p>
      <w:r>
        <w:rPr>
          <w:color w:val="555555"/>
          <w:sz w:val="17"/>
        </w:rPr>
        <w:t xml:space="preserve">Zitiervorschlag: Eingangsformel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