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BinSchSprFunkV 2003 — Prüfung</w:t>
      </w:r>
    </w:p>
    <w:p>
      <w:r>
        <w:rPr>
          <w:color w:val="555555"/>
          <w:sz w:val="18"/>
        </w:rPr>
        <w:t xml:space="preserve">Binnenschifffahrt-Sprechfunkverordnung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Bewerber hat in einer Prüfung nach Maßgabe des Prüfungsprogramms (Anlage 3) nachzuweisen, dass er</w:t>
      </w:r>
    </w:p>
    <w:p>
      <w:pPr>
        <w:ind w:left="420"/>
      </w:pPr>
      <w:r>
        <w:t xml:space="preserve">1. über ausreichende Kenntnisse der für die Teilnahme am Binnenschifffahrtsfunk maßgebenden Vorschriften sowie die zur ordnungsgemäßen Bedienung der Funkanlage erforderlichen betrieblichen und technischen Kenntnisse verfügt (theoretischer Teil) und</w:t>
      </w:r>
    </w:p>
    <w:p>
      <w:pPr>
        <w:ind w:left="420"/>
      </w:pPr>
      <w:r>
        <w:t xml:space="preserve">2. zu ihrer praktischen Anwendung fähig ist (praktischer Teil).</w:t>
      </w:r>
    </w:p>
    <w:p>
      <w:r>
        <w:t xml:space="preserve">(2) Der Vorsitzende des Prüfungsausschusses oder sein Stellvertreter bestimmt den Prüfungstermin und beruft die Prüfungskommission, die aus drei Prüfern besteht. Die Prüfungskommission nimmt die Prüfung ab.</w:t>
      </w:r>
    </w:p>
    <w:p>
      <w:r>
        <w:t xml:space="preserve">(3) Der Vorsitzende der Prüfungskommission leitet die Prüfung. Sie wird nach Maßgabe der Anlage 4 durchgeführt. Die Prüfung ist nur bei einstimmiger Entscheidung der Prüfungskommission bestanden. Über den Prüfungsverlauf ist eine Niederschrift aufzunehmen.</w:t>
      </w:r>
    </w:p>
    <w:p>
      <w:r>
        <w:t xml:space="preserve">(4) Hat der Bewerber in der Prüfung die Befähigung zur Teilnahme am Binnenschifffahrtsfunk und zur ordnungsgemäßen Bedienung der Funkanlage nachgewiesen, wird ihm die Erlaubnis durch die Ausstellung eines unbefristet gültigen UKW-Sprechfunkzeugnisses (UBI) nach dem Muster der Anlage 1 erteilt.</w:t>
      </w:r>
    </w:p>
    <w:p>
      <w:r>
        <w:t xml:space="preserve">(5) Besteht der Bewerber einen Teil der Prüfung nicht, kann er diesen Teil der Prüfung frühestens nach zwei Wochen und spätestens nach sechs Monaten wiederholen.</w:t>
      </w:r>
    </w:p>
    <w:p>
      <w:r>
        <w:t xml:space="preserve">(6) Inhaber eines nach Inkrafttreten dieser Verordnung ausgestellten</w:t>
      </w:r>
    </w:p>
    <w:p>
      <w:pPr>
        <w:ind w:left="420"/>
      </w:pPr>
      <w:r>
        <w:t xml:space="preserve">1. Allgemeinen Betriebszeugnisses für Funker (General Operator's Certificate (GOC)),</w:t>
      </w:r>
    </w:p>
    <w:p>
      <w:pPr>
        <w:ind w:left="420"/>
      </w:pPr>
      <w:r>
        <w:t xml:space="preserve">2. Beschränkt Gültigen Betriebszeugnisses für Funker (Restricted Operator's Certificate (ROC)),</w:t>
      </w:r>
    </w:p>
    <w:p>
      <w:pPr>
        <w:ind w:left="420"/>
      </w:pPr>
      <w:r>
        <w:t xml:space="preserve">3. UKW-Betriebszeugnisses für Funker (UBZ),</w:t>
      </w:r>
    </w:p>
    <w:p>
      <w:pPr>
        <w:ind w:left="420"/>
      </w:pPr>
      <w:r>
        <w:t xml:space="preserve">4. Allgemeinen Funkbetriebszeugnisses (Long Range Certificate (LRC)),</w:t>
      </w:r>
    </w:p>
    <w:p>
      <w:pPr>
        <w:ind w:left="420"/>
      </w:pPr>
      <w:r>
        <w:t xml:space="preserve">5. Beschränkt Gültigen Funkbetriebszeugnisses (Short Range Certificate (SRC))</w:t>
      </w:r>
    </w:p>
    <w:p>
      <w:r>
        <w:t xml:space="preserve">sind beim Erwerb der Erlaubnis von der Prüfung der Kenntnisse und Fertigkeiten befreit, die sie mit dem Zeugnis bereits nachgewiesen haben.</w:t>
      </w:r>
    </w:p>
    <w:p>
      <w:r>
        <w:t xml:space="preserve">(7) (weggefallen)</w:t>
      </w:r>
    </w:p>
    <w:p>
      <w:r>
        <w:rPr>
          <w:color w:val="555555"/>
          <w:sz w:val="17"/>
        </w:rPr>
        <w:t xml:space="preserve">Zitiervorschlag: § 9 BinSchSprFunkV 2003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https://recht.nulegal.eu/gesetze/BinSchSprFunkV%202003/9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