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BinSchSprFunkV 2003 — Prüfungsvoraussetzungen</w:t>
      </w:r>
    </w:p>
    <w:p>
      <w:r>
        <w:rPr>
          <w:color w:val="555555"/>
          <w:sz w:val="18"/>
        </w:rPr>
        <w:t xml:space="preserve">Binnenschifffahrt-Sprechfunkverordnung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Bewerber hat den Antrag auf Zulassung zur Prüfung und Erteilung der Erlaubnis mit folgenden Angaben an die zuständige Behörde über den Prüfungsausschuss zu richten:</w:t>
      </w:r>
    </w:p>
    <w:p>
      <w:pPr>
        <w:ind w:left="420"/>
      </w:pPr>
      <w:r>
        <w:t xml:space="preserve">1. Familienname,</w:t>
      </w:r>
    </w:p>
    <w:p>
      <w:pPr>
        <w:ind w:left="420"/>
      </w:pPr>
      <w:r>
        <w:t xml:space="preserve">2. Geburtsname,</w:t>
      </w:r>
    </w:p>
    <w:p>
      <w:pPr>
        <w:ind w:left="420"/>
      </w:pPr>
      <w:r>
        <w:t xml:space="preserve">3. Vornamen,</w:t>
      </w:r>
    </w:p>
    <w:p>
      <w:pPr>
        <w:ind w:left="420"/>
      </w:pPr>
      <w:r>
        <w:t xml:space="preserve">4. Tag und Ort der Geburt,</w:t>
      </w:r>
    </w:p>
    <w:p>
      <w:pPr>
        <w:ind w:left="420"/>
      </w:pPr>
      <w:r>
        <w:t xml:space="preserve">5. Anschrift.</w:t>
      </w:r>
    </w:p>
    <w:p>
      <w:r>
        <w:t xml:space="preserve">(2) Dem Antrag sind beizufügen:</w:t>
      </w:r>
    </w:p>
    <w:p>
      <w:pPr>
        <w:ind w:left="420"/>
      </w:pPr>
      <w:r>
        <w:t xml:space="preserve">1. eine Kopie des gültigen Reisepasses oder Personalausweises,</w:t>
      </w:r>
    </w:p>
    <w:p>
      <w:pPr>
        <w:ind w:left="420"/>
      </w:pPr>
      <w:r>
        <w:t xml:space="preserve">2. zwei gleiche Passbilder aus neuerer Zeit.</w:t>
      </w:r>
    </w:p>
    <w:p>
      <w:r>
        <w:t xml:space="preserve">(3) Der Bewerber wird zur Prüfung zugelassen, wenn</w:t>
      </w:r>
    </w:p>
    <w:p>
      <w:pPr>
        <w:ind w:left="420"/>
      </w:pPr>
      <w:r>
        <w:t xml:space="preserve">1. das Mindestalter (§ 6) nachgewiesen und</w:t>
      </w:r>
    </w:p>
    <w:p>
      <w:pPr>
        <w:ind w:left="420"/>
      </w:pPr>
      <w:r>
        <w:t xml:space="preserve">2. die Gebühren (§ 16) eingegangen sind.</w:t>
      </w:r>
    </w:p>
    <w:p>
      <w:r>
        <w:t xml:space="preserve">Abweichend von Satz 1 Nr. 1 darf ein Bewerber zur Prüfung auch drei Monate vor Erreichen des Mindestalters zugelassen werden.</w:t>
      </w:r>
    </w:p>
    <w:p>
      <w:r>
        <w:rPr>
          <w:color w:val="555555"/>
          <w:sz w:val="17"/>
        </w:rPr>
        <w:t xml:space="preserve">Zitiervorschlag: § 7 BinSchSprFunkV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https://recht.nulegal.eu/gesetze/BinSchSprFunkV%202003/7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