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BinSchSprFunkV 2003 — Anforderungen für den Erwerb der Erlaubnis</w:t>
      </w:r>
    </w:p>
    <w:p>
      <w:r>
        <w:rPr>
          <w:color w:val="555555"/>
          <w:sz w:val="18"/>
        </w:rPr>
        <w:t xml:space="preserve">Binnenschifffahrt-Sprechfunkverordnung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Bewerber muss für die Erteilung der Erlaubnis das 15. Lebensjahr vollendet und die erforderliche Befähigung in einer Prüfung nachgewiesen haben.</w:t>
      </w:r>
    </w:p>
    <w:p>
      <w:r>
        <w:rPr>
          <w:color w:val="555555"/>
          <w:sz w:val="17"/>
        </w:rPr>
        <w:t xml:space="preserve">Zitiervorschlag: § 6 BinSchSprFunkV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https://recht.nulegal.eu/gesetze/BinSchSprFunkV%202003/6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