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BinSchSprFunkV 2003 — Grundregeln</w:t>
      </w:r>
    </w:p>
    <w:p>
      <w:r>
        <w:rPr>
          <w:color w:val="555555"/>
          <w:sz w:val="18"/>
        </w:rPr>
        <w:t xml:space="preserve">Binnenschifffahrt-Sprechfunkverordnung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Funkdienst bei einer Schiffsfunkstelle darf nur nach Maßgabe der Regionalen Vereinbarung und des Handbuchs für den Binnenschifffahrtsfunk abgewickelt werden.</w:t>
      </w:r>
    </w:p>
    <w:p>
      <w:r>
        <w:t xml:space="preserve">(2) Die UKW-Kanäle der Verkehrskreise Schiff - Schiff, Schiff - Hafenbehörde und Funkverkehr an Bord dürfen nur benutzt werden, wenn dabei die Ausgangsleistung des Senders automatisch auf einen Wert zwischen 0,5 Watt und 1 Watt begrenzt wird. In den UKW-Kanälen im Verkehrskreis Nautische Information muss die Ausgangsleistung auf einen Wert zwischen 6 Watt und 25 Watt eingestellt sein.</w:t>
      </w:r>
    </w:p>
    <w:p>
      <w:r>
        <w:t xml:space="preserve">(3) Alle festen und tragbaren Funkanlagen müssen über ein Automatisches Senderidentifizierungssystem in der Binnenschifffahrt (Automatic Transmitter Identification System (ATIS)) verfügen.</w:t>
      </w:r>
    </w:p>
    <w:p>
      <w:r>
        <w:rPr>
          <w:color w:val="555555"/>
          <w:sz w:val="17"/>
        </w:rPr>
        <w:t xml:space="preserve">Zitiervorschlag: § 3 BinSchSprFunkV 2003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https://recht.nulegal.eu/gesetze/BinSchSprFunkV%202003/3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