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BinSchSprFunkV 2003 — Begriffsbestimmungen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Wasserstraßen der Zonen 1 bis 4:die Bundeswasserstraßen nach dem Anhang I der Binnenschiffsuntersuchungsordnung vom 21. September 2018 (BGBl. I S. 1398) in der jeweils geltenden und anzuwendenden Fassung;</w:t>
      </w:r>
    </w:p>
    <w:p>
      <w:pPr>
        <w:ind w:left="420"/>
      </w:pPr>
      <w:r>
        <w:t xml:space="preserve">2. Fahrzeuge:Binnenschiffe einschließlich Kleinfahrzeuge und Fähren sowie schwimmende Geräte, Schwimmkörper und Seeschiffe;</w:t>
      </w:r>
    </w:p>
    <w:p>
      <w:pPr>
        <w:ind w:left="420"/>
      </w:pPr>
      <w:r>
        <w:t xml:space="preserve">3. Binnenschifffahrtsfunk:Internationaler mobiler UKW-Sprechfunkdienst zwischen Landfunkstellen und Schiffsfunkstellen oder zwischen Schiffsfunkstellen auf Binnenschifffahrtsstraßen, der folgende Verkehrskreise umfasst:</w:t>
      </w:r>
    </w:p>
    <w:p>
      <w:pPr>
        <w:ind w:left="780"/>
      </w:pPr>
      <w:r>
        <w:t xml:space="preserve">a) Schiff - Schiff,</w:t>
      </w:r>
    </w:p>
    <w:p>
      <w:pPr>
        <w:ind w:left="780"/>
      </w:pPr>
      <w:r>
        <w:t xml:space="preserve">b) Nautische Information,</w:t>
      </w:r>
    </w:p>
    <w:p>
      <w:pPr>
        <w:ind w:left="780"/>
      </w:pPr>
      <w:r>
        <w:t xml:space="preserve">c) Schiff - Hafenbehörde,</w:t>
      </w:r>
    </w:p>
    <w:p>
      <w:pPr>
        <w:ind w:left="780"/>
      </w:pPr>
      <w:r>
        <w:t xml:space="preserve">d) Funkverkehr an Bord,</w:t>
      </w:r>
    </w:p>
    <w:p>
      <w:pPr>
        <w:ind w:left="780"/>
      </w:pPr>
      <w:r>
        <w:t xml:space="preserve">e) Öffentlicher Nachrichtenaustausch;</w:t>
      </w:r>
    </w:p>
    <w:p>
      <w:pPr>
        <w:ind w:left="420"/>
      </w:pPr>
      <w:r>
        <w:t xml:space="preserve">4. Funkanlage:Schiffsfunkstelle an Bord eines Fahrzeuges; sie kann aus mehreren Funkgeräten bestehen;</w:t>
      </w:r>
    </w:p>
    <w:p>
      <w:pPr>
        <w:ind w:left="420"/>
      </w:pPr>
      <w:r>
        <w:t xml:space="preserve">5. Regionale Vereinbarung:die Regionale Vereinbarung über den Binnenschifffahrtsfunk vom 6. April 2000 (BGBl. II S. 1213);</w:t>
      </w:r>
    </w:p>
    <w:p>
      <w:pPr>
        <w:ind w:left="420"/>
      </w:pPr>
      <w:r>
        <w:t xml:space="preserve">6. Handbuch Binnenschifffahrtsfunk:das von der Zentralkommission für die Rheinschifffahrt in Straßburg und von der Donaukommission in Budapest gemeinsam nach der Entschließung Nr. 1 der Regionalen Vereinbarung herausgegebene und dort niedergelegte Handbuch Binnenschifffahrtsfunk einschließlich der Regionalen Teile in der vom Bundesministerium für Verkehr und digitale Infrastruktur jeweils bekannt gemachten aktuellen Fassung;</w:t>
      </w:r>
    </w:p>
    <w:p>
      <w:pPr>
        <w:ind w:left="420"/>
      </w:pPr>
      <w:r>
        <w:t xml:space="preserve">7. Landfunkstelle:ortsfeste Funkstelle des Binnenschifffahrtsfunks;</w:t>
      </w:r>
    </w:p>
    <w:p>
      <w:pPr>
        <w:ind w:left="420"/>
      </w:pPr>
      <w:r>
        <w:t xml:space="preserve">8. Schiffsfunkstelle:mobile Funkstelle des Binnenschifffahrtsfunks, die sich an Bord eines Fahrzeuges befindet, das nicht ständig festgemacht ist.</w:t>
      </w:r>
    </w:p>
    <w:p>
      <w:r>
        <w:rPr>
          <w:color w:val="555555"/>
          <w:sz w:val="17"/>
        </w:rPr>
        <w:t xml:space="preserve">Zitiervorschlag: § 2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