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BinSchSprFunkV 2003 — Inkrafttreten, Außerkrafttreten</w:t>
      </w:r>
    </w:p>
    <w:p>
      <w:r>
        <w:rPr>
          <w:color w:val="555555"/>
          <w:sz w:val="18"/>
        </w:rPr>
        <w:t xml:space="preserve">Binnenschifffahrt-Sprechfunkverordnung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Januar 2003 in Kraft.</w:t>
      </w:r>
    </w:p>
    <w:p>
      <w:r>
        <w:rPr>
          <w:color w:val="555555"/>
          <w:sz w:val="17"/>
        </w:rPr>
        <w:t xml:space="preserve">Zitiervorschlag: § 18 BinSchSprFunkV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https://recht.nulegal.eu/gesetze/BinSchSprFunkV%202003/18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