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BinSchSprFunkV 2003 — Ordnungswidrigkeiten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7 Abs. 1 des Binnenschifffahrtsaufgabengesetzes handelt, wer vorsätzlich oder fahrlässig</w:t>
      </w:r>
    </w:p>
    <w:p>
      <w:pPr>
        <w:ind w:left="420"/>
      </w:pPr>
      <w:r>
        <w:t xml:space="preserve">1. entgegen § 3 Abs. 2 Satz 1 oder 2 einen UKW-Kanal benutzt,</w:t>
      </w:r>
    </w:p>
    <w:p>
      <w:pPr>
        <w:ind w:left="420"/>
      </w:pPr>
      <w:r>
        <w:t xml:space="preserve">2. ohne Erlaubnis nach § 4 Abs. 1 eine Schiffsfunkstelle oder Seefunkstelle bedient,</w:t>
      </w:r>
    </w:p>
    <w:p>
      <w:pPr>
        <w:ind w:left="420"/>
      </w:pPr>
      <w:r>
        <w:t xml:space="preserve">3. entgegen § 5 andere Nachrichten übermittelt,</w:t>
      </w:r>
    </w:p>
    <w:p>
      <w:pPr>
        <w:ind w:left="420"/>
      </w:pPr>
      <w:r>
        <w:t xml:space="preserve">4. entgegen § 11 Satz 2 oder entgegen § 12 Abs. 3 Satz 2, jeweils auch in Verbindung mit § 14 Satz 2, ein Zeugnis nicht oder nicht rechtzeitig abliefert oder</w:t>
      </w:r>
    </w:p>
    <w:p>
      <w:pPr>
        <w:ind w:left="420"/>
      </w:pPr>
      <w:r>
        <w:t xml:space="preserve">5. entgegen einem vollziehbaren Verbot nach § 12 Abs. 8 Satz 1 eine Schiffsfunkstelle oder Seefunkstelle bedient.</w:t>
      </w:r>
    </w:p>
    <w:p>
      <w:r>
        <w:rPr>
          <w:color w:val="555555"/>
          <w:sz w:val="17"/>
        </w:rPr>
        <w:t xml:space="preserve">Zitiervorschlag: § 15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