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BinSchSprFunkV 2003 — Auskünfte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darf die gespeicherten personenbezogenen Daten aus dem durch sie geführten Verzeichnis über die erteilten Erlaubnisse, soweit dies erforderlich ist, zum Zwecke der</w:t>
      </w:r>
    </w:p>
    <w:p>
      <w:pPr>
        <w:ind w:left="420"/>
      </w:pPr>
      <w:r>
        <w:t xml:space="preserve">1. Durchführung von Verwaltungsaufgaben nach dem Binnenschifffahrtsaufgabengesetz oder auf Grund dieses Gesetzes oder des Seeaufgabengesetzes erlassener Rechtsvorschriften an Dienststellen der Wasserstraßen- und Schifffahrtsverwaltung des Bundes, der Wasserschutzpolizeien der Länder und der Regulierungsbehörde für Post und Telekommunikation sowie an die Prüfungsausschüsse,</w:t>
      </w:r>
    </w:p>
    <w:p>
      <w:pPr>
        <w:ind w:left="420"/>
      </w:pPr>
      <w:r>
        <w:t xml:space="preserve">2. Verfolgung von Straftaten, die im Zusammenhang mit dem Schiffsverkehr stehen, an Gerichte, Staatsanwaltschaften, Dienststellen der Polizeien der Länder und das Bundeskriminalamt als Strafverfolgungsbehörde,</w:t>
      </w:r>
    </w:p>
    <w:p>
      <w:pPr>
        <w:ind w:left="420"/>
      </w:pPr>
      <w:r>
        <w:t xml:space="preserve">3. Verfolgung von Ordnungswidrigkeiten auf dem Gebiet der Schifffahrt an Gerichte, Staatsanwaltschaften, Dienststellen der Wasserstraßen- und Schifffahrtsverwaltung des Bundes und der Polizeien der Länder</w:t>
      </w:r>
    </w:p>
    <w:p>
      <w:r>
        <w:t xml:space="preserve">übermitteln.</w:t>
      </w:r>
    </w:p>
    <w:p>
      <w:r>
        <w:rPr>
          <w:color w:val="555555"/>
          <w:sz w:val="17"/>
        </w:rPr>
        <w:t xml:space="preserve">Zitiervorschlag: § 13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