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BinSchSprFunkV 2003 — Entziehung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Behörde muss eine Erlaubnis entziehen, wenn der Inhaber nachweislich</w:t>
      </w:r>
    </w:p>
    <w:p>
      <w:pPr>
        <w:ind w:left="420"/>
      </w:pPr>
      <w:r>
        <w:t xml:space="preserve">1. in gefährdender Weise gegen Bestimmungen über den Binnenschifffahrtsfunk verstoßen hat oder</w:t>
      </w:r>
    </w:p>
    <w:p>
      <w:pPr>
        <w:ind w:left="420"/>
      </w:pPr>
      <w:r>
        <w:t xml:space="preserve">2. zur ordnungsgemäßen Teilnahme am Binnenschifffahrtsfunk nicht mehr in der Lage ist, insbesondere nicht mehr über ausreichendes Hör- oder Kommunikationsvermögen oder ausreichende Sehschärfe verfügt; die zuständige Behörde kann in Zweifelsfällen die Vorlage fachärztlicher Zeugnisse verlangen.</w:t>
      </w:r>
    </w:p>
    <w:p>
      <w:r>
        <w:t xml:space="preserve">(2) Die zuständige Behörde kann eine Erlaubnis entziehen, wenn</w:t>
      </w:r>
    </w:p>
    <w:p>
      <w:pPr>
        <w:ind w:left="420"/>
      </w:pPr>
      <w:r>
        <w:t xml:space="preserve">1. der Inhaber nachweislich in grober Weise gegen Bestimmungen über den Binnenschifffahrtsfunk verstoßen hat,</w:t>
      </w:r>
    </w:p>
    <w:p>
      <w:pPr>
        <w:ind w:left="420"/>
      </w:pPr>
      <w:r>
        <w:t xml:space="preserve">2. bei dem Inhaber Anhaltspunkte dafür festgestellt worden sind, dass er zur ordnungsgemäßen Teilnahme am Binnenschifffahrtsfunk nicht mehr in der Lage ist.</w:t>
      </w:r>
    </w:p>
    <w:p>
      <w:r>
        <w:t xml:space="preserve">In diesen Fällen kann die zuständige Behörde von der Entziehung absehen, wenn der Betroffene erneut eine Prüfung erfolgreich ablegt. Diese Prüfung ist auf die Kenntnisse und Fertigkeiten nach Anlage 3 beschränkt, die beanstandet worden sind.</w:t>
      </w:r>
    </w:p>
    <w:p>
      <w:r>
        <w:t xml:space="preserve">(3) Die Erlaubnis erlischt mit der Entziehung. Das UKW-Sprechfunkzeugnis (UBI) ist unverzüglich bei der zuständigen Behörde abzuliefern; das gilt auch dann, wenn die Entziehung der Erlaubnis angefochten und der sofortige Vollzug der Entziehung angeordnet worden ist.</w:t>
      </w:r>
    </w:p>
    <w:p>
      <w:r>
        <w:t xml:space="preserve">(4) Die zuständige Behörde kann bei der Entziehung die erneute Erteilung der Erlaubnis an Auflagen und Bedingungen binden.</w:t>
      </w:r>
    </w:p>
    <w:p>
      <w:r>
        <w:t xml:space="preserve">(5) Die zuständige Behörde teilt die Entziehung der Erlaubnis den Wasserschutzpolizeien der Länder unverzüglich mit, sofern der Inhaber des UKW-Sprechfunkzeugnisses (UBI) seine Verpflichtung nach Absatz 3 nicht erfüllt hat.</w:t>
      </w:r>
    </w:p>
    <w:p>
      <w:r>
        <w:t xml:space="preserve">(6) Die Wasserschutzpolizeien der Länder teilen der zuständigen Behörde die ihnen bekannten Tatsachen mit, die eine Entziehung rechtfertigen können.</w:t>
      </w:r>
    </w:p>
    <w:p>
      <w:r>
        <w:t xml:space="preserve">(7) Die Absätze 1 bis 6 gelten für Zeugnisse nach § 4 Abs. 3 Nr. 4 entsprechend.</w:t>
      </w:r>
    </w:p>
    <w:p>
      <w:r>
        <w:t xml:space="preserve">(8) In den Fällen der Absätze 1 und 2 kann die zuständige Behörde Inhabern von Zeugnissen nach § 4 Abs. 3 Nr. 2 und 3 die Bedienung einer Schiffsfunkstelle oder Seefunkstelle auf den Wasserstraßen der Zonen 3 und 4 verbieten. Sie teilt die Untersagung der Stelle, die das Zeugnis ausgestellt hat, unverzüglich mit.</w:t>
      </w:r>
    </w:p>
    <w:p>
      <w:r>
        <w:rPr>
          <w:color w:val="555555"/>
          <w:sz w:val="17"/>
        </w:rPr>
        <w:t xml:space="preserve">Zitiervorschlag: § 12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