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BinSchSprFunkV 2003 — Geltungsbereich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den mobilen UKW-Sprechfunkdienst bei Schiffsfunkstellen auf Wasserstraßen der Zonen 1 bis 4;</w:t>
      </w:r>
    </w:p>
    <w:p>
      <w:pPr>
        <w:ind w:left="420"/>
      </w:pPr>
      <w:r>
        <w:t xml:space="preserve">2. den Erwerb eines UKW-Sprechfunkzeugnisses für den Binnenschifffahrtsfunk (UKW-Sprechfunkzeugnis (UBI)).</w:t>
      </w:r>
    </w:p>
    <w:p>
      <w:r>
        <w:rPr>
          <w:color w:val="555555"/>
          <w:sz w:val="17"/>
        </w:rPr>
        <w:t xml:space="preserve">Zitiervorschlag: § 1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