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BinSchSiV — Erlaubnispflicht</w:t>
      </w:r>
    </w:p>
    <w:p>
      <w:r>
        <w:rPr>
          <w:color w:val="555555"/>
          <w:sz w:val="18"/>
        </w:rPr>
        <w:t xml:space="preserve">Verordnung zur Sicherstellung des Binnenschiffsverkehrs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Generaldirektion Wasserstraßen und Schifffahrt kann zur Sicherstellung des lebenswichtigen Verkehrs anordnen, daß bestimmte, in ihrem Bezirk beginnende Fahrten der Binnenschiffe, die der Meldepflicht nach § 1 unterliegen, der Erlaubnis bedürfen. Die Anordnung darf nur ergehen, wenn dies auf Grund der Verkehrslage, insbesondere bei einem Mangel an Binnenschiffen dringend geboten ist.</w:t>
      </w:r>
    </w:p>
    <w:p>
      <w:r>
        <w:t xml:space="preserve">(2) Absatz 1 gilt nicht für Fahrten</w:t>
      </w:r>
    </w:p>
    <w:p>
      <w:pPr>
        <w:ind w:left="420"/>
      </w:pPr>
      <w:r>
        <w:t xml:space="preserve">1. im Auftrag der Streitkräfte sowie der Behörden des Bundes und der Länder einschließlich der Gemeinden und Gemeindeverbände,</w:t>
      </w:r>
    </w:p>
    <w:p>
      <w:pPr>
        <w:ind w:left="420"/>
      </w:pPr>
      <w:r>
        <w:t xml:space="preserve">2. zur Erfüllung einer auf Gesetz, Rechtsverordnung oder behördlicher Verfügung beruhenden Verpflichtung.</w:t>
      </w:r>
    </w:p>
    <w:p>
      <w:r>
        <w:rPr>
          <w:color w:val="555555"/>
          <w:sz w:val="17"/>
        </w:rPr>
        <w:t xml:space="preserve">Zitiervorschlag: § 5 BinSchSiV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https://recht.nulegal.eu/gesetze/BinSchSiV/5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BinSchSiV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